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6"/>
          <w:szCs w:val="36"/>
          <w:highlight w:val="yellow"/>
        </w:rPr>
      </w:pPr>
      <w:r w:rsidDel="00000000" w:rsidR="00000000" w:rsidRPr="00000000">
        <w:rPr>
          <w:b w:val="1"/>
          <w:sz w:val="36"/>
          <w:szCs w:val="36"/>
          <w:highlight w:val="yellow"/>
          <w:rtl w:val="0"/>
        </w:rPr>
        <w:t xml:space="preserve">Template</w:t>
      </w:r>
    </w:p>
    <w:p w:rsidR="00000000" w:rsidDel="00000000" w:rsidP="00000000" w:rsidRDefault="00000000" w:rsidRPr="00000000" w14:paraId="00000002">
      <w:pPr>
        <w:rPr>
          <w:b w:val="1"/>
          <w:sz w:val="28"/>
          <w:szCs w:val="28"/>
        </w:rPr>
      </w:pPr>
      <w:r w:rsidDel="00000000" w:rsidR="00000000" w:rsidRPr="00000000">
        <w:rPr>
          <w:rtl w:val="0"/>
        </w:rPr>
      </w:r>
    </w:p>
    <w:tbl>
      <w:tblPr>
        <w:tblStyle w:val="Table1"/>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20"/>
        <w:gridCol w:w="4320"/>
        <w:gridCol w:w="4320"/>
        <w:tblGridChange w:id="0">
          <w:tblGrid>
            <w:gridCol w:w="4320"/>
            <w:gridCol w:w="4320"/>
            <w:gridCol w:w="4320"/>
          </w:tblGrid>
        </w:tblGridChange>
      </w:tblGrid>
      <w:tr>
        <w:tc>
          <w:tcPr>
            <w:shd w:fill="f9cb9c" w:val="clear"/>
            <w:tcMar>
              <w:top w:w="100.0" w:type="dxa"/>
              <w:left w:w="100.0" w:type="dxa"/>
              <w:bottom w:w="100.0" w:type="dxa"/>
              <w:right w:w="100.0" w:type="dxa"/>
            </w:tcMar>
            <w:vAlign w:val="top"/>
          </w:tcPr>
          <w:p w:rsidR="00000000" w:rsidDel="00000000" w:rsidP="00000000" w:rsidRDefault="00000000" w:rsidRPr="00000000" w14:paraId="00000003">
            <w:pPr>
              <w:widowControl w:val="0"/>
              <w:spacing w:line="240" w:lineRule="auto"/>
              <w:rPr>
                <w:b w:val="1"/>
                <w:sz w:val="28"/>
                <w:szCs w:val="28"/>
              </w:rPr>
            </w:pPr>
            <w:r w:rsidDel="00000000" w:rsidR="00000000" w:rsidRPr="00000000">
              <w:rPr>
                <w:b w:val="1"/>
                <w:sz w:val="28"/>
                <w:szCs w:val="28"/>
                <w:rtl w:val="0"/>
              </w:rPr>
              <w:t xml:space="preserve">Name</w:t>
            </w:r>
          </w:p>
        </w:tc>
        <w:tc>
          <w:tcPr>
            <w:shd w:fill="f9cb9c"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jc w:val="center"/>
              <w:rPr>
                <w:b w:val="1"/>
                <w:sz w:val="28"/>
                <w:szCs w:val="28"/>
              </w:rPr>
            </w:pPr>
            <w:r w:rsidDel="00000000" w:rsidR="00000000" w:rsidRPr="00000000">
              <w:rPr>
                <w:b w:val="1"/>
                <w:sz w:val="28"/>
                <w:szCs w:val="28"/>
                <w:rtl w:val="0"/>
              </w:rPr>
              <w:t xml:space="preserve">Pre-Test 80/80 Percentage</w:t>
            </w:r>
          </w:p>
        </w:tc>
        <w:tc>
          <w:tcPr>
            <w:shd w:fill="f9cb9c"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jc w:val="center"/>
              <w:rPr>
                <w:b w:val="1"/>
                <w:sz w:val="28"/>
                <w:szCs w:val="28"/>
              </w:rPr>
            </w:pPr>
            <w:r w:rsidDel="00000000" w:rsidR="00000000" w:rsidRPr="00000000">
              <w:rPr>
                <w:b w:val="1"/>
                <w:sz w:val="28"/>
                <w:szCs w:val="28"/>
                <w:rtl w:val="0"/>
              </w:rPr>
              <w:t xml:space="preserve">Post-Test 80/80 Percentage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b w:val="1"/>
                <w:sz w:val="28"/>
                <w:szCs w:val="28"/>
              </w:rPr>
            </w:pPr>
            <w:r w:rsidDel="00000000" w:rsidR="00000000" w:rsidRPr="00000000">
              <w:rPr>
                <w:b w:val="1"/>
                <w:sz w:val="28"/>
                <w:szCs w:val="28"/>
                <w:rtl w:val="0"/>
              </w:rPr>
              <w:t xml:space="preserve">Teacher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jc w:val="center"/>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jc w:val="center"/>
              <w:rPr>
                <w:b w:val="1"/>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b w:val="1"/>
                <w:sz w:val="28"/>
                <w:szCs w:val="28"/>
              </w:rPr>
            </w:pPr>
            <w:r w:rsidDel="00000000" w:rsidR="00000000" w:rsidRPr="00000000">
              <w:rPr>
                <w:b w:val="1"/>
                <w:sz w:val="28"/>
                <w:szCs w:val="28"/>
                <w:rtl w:val="0"/>
              </w:rPr>
              <w:t xml:space="preserve">Teacher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jc w:val="center"/>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jc w:val="center"/>
              <w:rPr>
                <w:b w:val="1"/>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b w:val="1"/>
                <w:sz w:val="28"/>
                <w:szCs w:val="28"/>
              </w:rPr>
            </w:pPr>
            <w:r w:rsidDel="00000000" w:rsidR="00000000" w:rsidRPr="00000000">
              <w:rPr>
                <w:b w:val="1"/>
                <w:sz w:val="28"/>
                <w:szCs w:val="28"/>
                <w:rtl w:val="0"/>
              </w:rPr>
              <w:t xml:space="preserve">Teacher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jc w:val="center"/>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jc w:val="center"/>
              <w:rPr>
                <w:b w:val="1"/>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b w:val="1"/>
                <w:sz w:val="28"/>
                <w:szCs w:val="28"/>
              </w:rPr>
            </w:pPr>
            <w:r w:rsidDel="00000000" w:rsidR="00000000" w:rsidRPr="00000000">
              <w:rPr>
                <w:b w:val="1"/>
                <w:sz w:val="28"/>
                <w:szCs w:val="28"/>
                <w:rtl w:val="0"/>
              </w:rPr>
              <w:t xml:space="preserve">Teacher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jc w:val="center"/>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jc w:val="center"/>
              <w:rPr>
                <w:b w:val="1"/>
                <w:sz w:val="28"/>
                <w:szCs w:val="28"/>
              </w:rPr>
            </w:pPr>
            <w:r w:rsidDel="00000000" w:rsidR="00000000" w:rsidRPr="00000000">
              <w:rPr>
                <w:rtl w:val="0"/>
              </w:rPr>
            </w:r>
          </w:p>
        </w:tc>
      </w:tr>
    </w:tbl>
    <w:p w:rsidR="00000000" w:rsidDel="00000000" w:rsidP="00000000" w:rsidRDefault="00000000" w:rsidRPr="00000000" w14:paraId="00000012">
      <w:pPr>
        <w:rPr>
          <w:b w:val="1"/>
          <w:sz w:val="28"/>
          <w:szCs w:val="28"/>
        </w:rPr>
      </w:pPr>
      <w:r w:rsidDel="00000000" w:rsidR="00000000" w:rsidRPr="00000000">
        <w:rPr>
          <w:rtl w:val="0"/>
        </w:rPr>
      </w:r>
    </w:p>
    <w:tbl>
      <w:tblPr>
        <w:tblStyle w:val="Table2"/>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55"/>
        <w:gridCol w:w="8505"/>
        <w:tblGridChange w:id="0">
          <w:tblGrid>
            <w:gridCol w:w="4455"/>
            <w:gridCol w:w="8505"/>
          </w:tblGrid>
        </w:tblGridChange>
      </w:tblGrid>
      <w:tr>
        <w:tc>
          <w:tcPr>
            <w:shd w:fill="f9cb9c"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sz w:val="24"/>
                <w:szCs w:val="24"/>
              </w:rPr>
            </w:pPr>
            <w:r w:rsidDel="00000000" w:rsidR="00000000" w:rsidRPr="00000000">
              <w:rPr>
                <w:sz w:val="24"/>
                <w:szCs w:val="24"/>
                <w:rtl w:val="0"/>
              </w:rPr>
              <w:t xml:space="preserve">What was the priority standard of focus for this quarter?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sz w:val="24"/>
                <w:szCs w:val="24"/>
              </w:rPr>
            </w:pPr>
            <w:r w:rsidDel="00000000" w:rsidR="00000000" w:rsidRPr="00000000">
              <w:rPr>
                <w:rtl w:val="0"/>
              </w:rPr>
            </w:r>
          </w:p>
        </w:tc>
      </w:tr>
      <w:tr>
        <w:tc>
          <w:tcPr>
            <w:shd w:fill="f9cb9c"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sz w:val="24"/>
                <w:szCs w:val="24"/>
              </w:rPr>
            </w:pPr>
            <w:r w:rsidDel="00000000" w:rsidR="00000000" w:rsidRPr="00000000">
              <w:rPr>
                <w:sz w:val="24"/>
                <w:szCs w:val="24"/>
                <w:rtl w:val="0"/>
              </w:rPr>
              <w:t xml:space="preserve">Which instructional strategies did you utilize to teach this standard?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sz w:val="24"/>
                <w:szCs w:val="24"/>
              </w:rPr>
            </w:pPr>
            <w:r w:rsidDel="00000000" w:rsidR="00000000" w:rsidRPr="00000000">
              <w:rPr>
                <w:rtl w:val="0"/>
              </w:rPr>
            </w:r>
          </w:p>
        </w:tc>
      </w:tr>
      <w:tr>
        <w:tc>
          <w:tcPr>
            <w:shd w:fill="f9cb9c"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sz w:val="24"/>
                <w:szCs w:val="24"/>
              </w:rPr>
            </w:pPr>
            <w:r w:rsidDel="00000000" w:rsidR="00000000" w:rsidRPr="00000000">
              <w:rPr>
                <w:sz w:val="24"/>
                <w:szCs w:val="24"/>
                <w:rtl w:val="0"/>
              </w:rPr>
              <w:t xml:space="preserve">Which strategies did you use to improve student learning for those who did not meet the learning goal on the initial assessment?  Which of these strategies resulted in the greatest learning gains for students?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sz w:val="24"/>
                <w:szCs w:val="24"/>
              </w:rPr>
            </w:pPr>
            <w:r w:rsidDel="00000000" w:rsidR="00000000" w:rsidRPr="00000000">
              <w:rPr>
                <w:rtl w:val="0"/>
              </w:rPr>
            </w:r>
          </w:p>
        </w:tc>
      </w:tr>
      <w:tr>
        <w:tc>
          <w:tcPr>
            <w:shd w:fill="f9cb9c"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sz w:val="24"/>
                <w:szCs w:val="24"/>
              </w:rPr>
            </w:pPr>
            <w:r w:rsidDel="00000000" w:rsidR="00000000" w:rsidRPr="00000000">
              <w:rPr>
                <w:sz w:val="24"/>
                <w:szCs w:val="24"/>
                <w:rtl w:val="0"/>
              </w:rPr>
              <w:t xml:space="preserve">What enrichment opportunities were provided for students who have already met the standard?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sz w:val="24"/>
                <w:szCs w:val="24"/>
              </w:rPr>
            </w:pPr>
            <w:r w:rsidDel="00000000" w:rsidR="00000000" w:rsidRPr="00000000">
              <w:rPr>
                <w:rtl w:val="0"/>
              </w:rPr>
            </w:r>
          </w:p>
        </w:tc>
      </w:tr>
      <w:tr>
        <w:tc>
          <w:tcPr>
            <w:shd w:fill="f9cb9c"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sz w:val="24"/>
                <w:szCs w:val="24"/>
              </w:rPr>
            </w:pPr>
            <w:r w:rsidDel="00000000" w:rsidR="00000000" w:rsidRPr="00000000">
              <w:rPr>
                <w:sz w:val="24"/>
                <w:szCs w:val="24"/>
                <w:rtl w:val="0"/>
              </w:rPr>
              <w:t xml:space="preserve">What action steps have you taken this quarter to improve student learning/performance on the EOC?</w:t>
            </w:r>
          </w:p>
          <w:p w:rsidR="00000000" w:rsidDel="00000000" w:rsidP="00000000" w:rsidRDefault="00000000" w:rsidRPr="00000000" w14:paraId="0000001C">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sz w:val="24"/>
                <w:szCs w:val="24"/>
              </w:rPr>
            </w:pPr>
            <w:r w:rsidDel="00000000" w:rsidR="00000000" w:rsidRPr="00000000">
              <w:rPr>
                <w:rtl w:val="0"/>
              </w:rPr>
            </w:r>
          </w:p>
        </w:tc>
      </w:tr>
    </w:tbl>
    <w:p w:rsidR="00000000" w:rsidDel="00000000" w:rsidP="00000000" w:rsidRDefault="00000000" w:rsidRPr="00000000" w14:paraId="0000001E">
      <w:pPr>
        <w:rPr>
          <w:b w:val="1"/>
          <w:sz w:val="36"/>
          <w:szCs w:val="36"/>
        </w:rPr>
      </w:pPr>
      <w:r w:rsidDel="00000000" w:rsidR="00000000" w:rsidRPr="00000000">
        <w:rPr>
          <w:rtl w:val="0"/>
        </w:rPr>
      </w:r>
    </w:p>
    <w:p w:rsidR="00000000" w:rsidDel="00000000" w:rsidP="00000000" w:rsidRDefault="00000000" w:rsidRPr="00000000" w14:paraId="0000001F">
      <w:pPr>
        <w:rPr>
          <w:b w:val="1"/>
          <w:sz w:val="36"/>
          <w:szCs w:val="36"/>
          <w:highlight w:val="yellow"/>
        </w:rPr>
      </w:pPr>
      <w:r w:rsidDel="00000000" w:rsidR="00000000" w:rsidRPr="00000000">
        <w:rPr>
          <w:b w:val="1"/>
          <w:sz w:val="36"/>
          <w:szCs w:val="36"/>
          <w:highlight w:val="yellow"/>
          <w:rtl w:val="0"/>
        </w:rPr>
        <w:t xml:space="preserve">Sample</w:t>
      </w:r>
    </w:p>
    <w:p w:rsidR="00000000" w:rsidDel="00000000" w:rsidP="00000000" w:rsidRDefault="00000000" w:rsidRPr="00000000" w14:paraId="00000020">
      <w:pPr>
        <w:rPr>
          <w:b w:val="1"/>
          <w:sz w:val="36"/>
          <w:szCs w:val="36"/>
        </w:rPr>
      </w:pPr>
      <w:r w:rsidDel="00000000" w:rsidR="00000000" w:rsidRPr="00000000">
        <w:rPr>
          <w:b w:val="1"/>
          <w:sz w:val="36"/>
          <w:szCs w:val="36"/>
          <w:rtl w:val="0"/>
        </w:rPr>
        <w:t xml:space="preserve">American Government Quarterly Reflection</w:t>
      </w:r>
    </w:p>
    <w:p w:rsidR="00000000" w:rsidDel="00000000" w:rsidP="00000000" w:rsidRDefault="00000000" w:rsidRPr="00000000" w14:paraId="00000021">
      <w:pPr>
        <w:rPr>
          <w:b w:val="1"/>
          <w:sz w:val="36"/>
          <w:szCs w:val="36"/>
        </w:rPr>
      </w:pPr>
      <w:r w:rsidDel="00000000" w:rsidR="00000000" w:rsidRPr="00000000">
        <w:rPr>
          <w:b w:val="1"/>
          <w:sz w:val="36"/>
          <w:szCs w:val="36"/>
          <w:rtl w:val="0"/>
        </w:rPr>
        <w:t xml:space="preserve">1st Quarter</w:t>
      </w:r>
    </w:p>
    <w:p w:rsidR="00000000" w:rsidDel="00000000" w:rsidP="00000000" w:rsidRDefault="00000000" w:rsidRPr="00000000" w14:paraId="00000022">
      <w:pPr>
        <w:rPr>
          <w:b w:val="1"/>
          <w:sz w:val="28"/>
          <w:szCs w:val="28"/>
        </w:rPr>
      </w:pPr>
      <w:r w:rsidDel="00000000" w:rsidR="00000000" w:rsidRPr="00000000">
        <w:rPr>
          <w:rtl w:val="0"/>
        </w:rPr>
      </w:r>
    </w:p>
    <w:tbl>
      <w:tblPr>
        <w:tblStyle w:val="Table3"/>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20"/>
        <w:gridCol w:w="4320"/>
        <w:gridCol w:w="4320"/>
        <w:tblGridChange w:id="0">
          <w:tblGrid>
            <w:gridCol w:w="4320"/>
            <w:gridCol w:w="4320"/>
            <w:gridCol w:w="4320"/>
          </w:tblGrid>
        </w:tblGridChange>
      </w:tblGrid>
      <w:tr>
        <w:tc>
          <w:tcPr>
            <w:shd w:fill="ea9999"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b w:val="1"/>
                <w:sz w:val="28"/>
                <w:szCs w:val="28"/>
                <w:rtl w:val="0"/>
              </w:rPr>
              <w:t xml:space="preserve">Name</w:t>
            </w:r>
          </w:p>
        </w:tc>
        <w:tc>
          <w:tcPr>
            <w:shd w:fill="ea9999"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rPr>
            </w:pPr>
            <w:r w:rsidDel="00000000" w:rsidR="00000000" w:rsidRPr="00000000">
              <w:rPr>
                <w:b w:val="1"/>
                <w:sz w:val="28"/>
                <w:szCs w:val="28"/>
                <w:rtl w:val="0"/>
              </w:rPr>
              <w:t xml:space="preserve">Pre-Test 80/80 Percentage</w:t>
            </w:r>
          </w:p>
        </w:tc>
        <w:tc>
          <w:tcPr>
            <w:shd w:fill="ea9999"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rPr>
            </w:pPr>
            <w:r w:rsidDel="00000000" w:rsidR="00000000" w:rsidRPr="00000000">
              <w:rPr>
                <w:b w:val="1"/>
                <w:sz w:val="28"/>
                <w:szCs w:val="28"/>
                <w:rtl w:val="0"/>
              </w:rPr>
              <w:t xml:space="preserve">Post-Test 80/80 Percentage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b w:val="1"/>
                <w:sz w:val="28"/>
                <w:szCs w:val="28"/>
              </w:rPr>
            </w:pPr>
            <w:r w:rsidDel="00000000" w:rsidR="00000000" w:rsidRPr="00000000">
              <w:rPr>
                <w:b w:val="1"/>
                <w:sz w:val="28"/>
                <w:szCs w:val="28"/>
                <w:rtl w:val="0"/>
              </w:rPr>
              <w:t xml:space="preserve">Teacher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rPr>
            </w:pPr>
            <w:r w:rsidDel="00000000" w:rsidR="00000000" w:rsidRPr="00000000">
              <w:rPr>
                <w:b w:val="1"/>
                <w:sz w:val="28"/>
                <w:szCs w:val="28"/>
                <w:rtl w:val="0"/>
              </w:rPr>
              <w:t xml:space="preserve">68.6%</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rPr>
            </w:pPr>
            <w:r w:rsidDel="00000000" w:rsidR="00000000" w:rsidRPr="00000000">
              <w:rPr>
                <w:b w:val="1"/>
                <w:sz w:val="28"/>
                <w:szCs w:val="28"/>
                <w:rtl w:val="0"/>
              </w:rPr>
              <w:t xml:space="preserve">89.9%</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b w:val="1"/>
                <w:sz w:val="28"/>
                <w:szCs w:val="28"/>
              </w:rPr>
            </w:pPr>
            <w:r w:rsidDel="00000000" w:rsidR="00000000" w:rsidRPr="00000000">
              <w:rPr>
                <w:b w:val="1"/>
                <w:sz w:val="28"/>
                <w:szCs w:val="28"/>
                <w:rtl w:val="0"/>
              </w:rPr>
              <w:t xml:space="preserve">Teacher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rPr>
            </w:pPr>
            <w:r w:rsidDel="00000000" w:rsidR="00000000" w:rsidRPr="00000000">
              <w:rPr>
                <w:b w:val="1"/>
                <w:sz w:val="28"/>
                <w:szCs w:val="28"/>
                <w:rtl w:val="0"/>
              </w:rPr>
              <w:t xml:space="preserve">31.8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rPr>
            </w:pPr>
            <w:r w:rsidDel="00000000" w:rsidR="00000000" w:rsidRPr="00000000">
              <w:rPr>
                <w:b w:val="1"/>
                <w:sz w:val="28"/>
                <w:szCs w:val="28"/>
                <w:rtl w:val="0"/>
              </w:rPr>
              <w:t xml:space="preserve">84.5%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b w:val="1"/>
                <w:sz w:val="28"/>
                <w:szCs w:val="28"/>
              </w:rPr>
            </w:pPr>
            <w:r w:rsidDel="00000000" w:rsidR="00000000" w:rsidRPr="00000000">
              <w:rPr>
                <w:b w:val="1"/>
                <w:sz w:val="28"/>
                <w:szCs w:val="28"/>
                <w:rtl w:val="0"/>
              </w:rPr>
              <w:t xml:space="preserve">Teacher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rPr>
            </w:pPr>
            <w:r w:rsidDel="00000000" w:rsidR="00000000" w:rsidRPr="00000000">
              <w:rPr>
                <w:b w:val="1"/>
                <w:sz w:val="28"/>
                <w:szCs w:val="28"/>
                <w:rtl w:val="0"/>
              </w:rPr>
              <w:t xml:space="preserve">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rPr>
            </w:pPr>
            <w:r w:rsidDel="00000000" w:rsidR="00000000" w:rsidRPr="00000000">
              <w:rPr>
                <w:b w:val="1"/>
                <w:sz w:val="28"/>
                <w:szCs w:val="28"/>
                <w:rtl w:val="0"/>
              </w:rPr>
              <w:t xml:space="preserve">81.3%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b w:val="1"/>
                <w:sz w:val="28"/>
                <w:szCs w:val="28"/>
              </w:rPr>
            </w:pPr>
            <w:r w:rsidDel="00000000" w:rsidR="00000000" w:rsidRPr="00000000">
              <w:rPr>
                <w:b w:val="1"/>
                <w:sz w:val="28"/>
                <w:szCs w:val="28"/>
                <w:rtl w:val="0"/>
              </w:rPr>
              <w:t xml:space="preserve">Teacher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rPr>
            </w:pPr>
            <w:r w:rsidDel="00000000" w:rsidR="00000000" w:rsidRPr="00000000">
              <w:rPr>
                <w:b w:val="1"/>
                <w:sz w:val="28"/>
                <w:szCs w:val="28"/>
                <w:rtl w:val="0"/>
              </w:rPr>
              <w:t xml:space="preserve">29.7%</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rPr>
            </w:pPr>
            <w:r w:rsidDel="00000000" w:rsidR="00000000" w:rsidRPr="00000000">
              <w:rPr>
                <w:b w:val="1"/>
                <w:sz w:val="28"/>
                <w:szCs w:val="28"/>
                <w:rtl w:val="0"/>
              </w:rPr>
              <w:t xml:space="preserve">88.5%</w:t>
            </w:r>
          </w:p>
        </w:tc>
      </w:tr>
    </w:tbl>
    <w:p w:rsidR="00000000" w:rsidDel="00000000" w:rsidP="00000000" w:rsidRDefault="00000000" w:rsidRPr="00000000" w14:paraId="00000032">
      <w:pPr>
        <w:rPr>
          <w:b w:val="1"/>
          <w:sz w:val="28"/>
          <w:szCs w:val="28"/>
        </w:rPr>
      </w:pPr>
      <w:r w:rsidDel="00000000" w:rsidR="00000000" w:rsidRPr="00000000">
        <w:rPr>
          <w:rtl w:val="0"/>
        </w:rPr>
      </w:r>
    </w:p>
    <w:tbl>
      <w:tblPr>
        <w:tblStyle w:val="Table4"/>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55"/>
        <w:gridCol w:w="8505"/>
        <w:tblGridChange w:id="0">
          <w:tblGrid>
            <w:gridCol w:w="4455"/>
            <w:gridCol w:w="8505"/>
          </w:tblGrid>
        </w:tblGridChange>
      </w:tblGrid>
      <w:tr>
        <w:tc>
          <w:tcPr>
            <w:shd w:fill="ea9999"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What was the priority standard of focus for this quarter?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T2S2B: </w:t>
            </w:r>
            <w:r w:rsidDel="00000000" w:rsidR="00000000" w:rsidRPr="00000000">
              <w:rPr>
                <w:sz w:val="24"/>
                <w:szCs w:val="24"/>
                <w:rtl w:val="0"/>
              </w:rPr>
              <w:t xml:space="preserve">Apply the concepts of natural law, social contract, due process of law, and popular sovereignty to explain the purpose and legacy of the Declaration of Independence. </w:t>
            </w:r>
            <w:r w:rsidDel="00000000" w:rsidR="00000000" w:rsidRPr="00000000">
              <w:rPr>
                <w:rtl w:val="0"/>
              </w:rPr>
            </w:r>
          </w:p>
        </w:tc>
      </w:tr>
      <w:tr>
        <w:tc>
          <w:tcPr>
            <w:shd w:fill="ea9999"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Which instructional strategies did you utilize to teach this standard?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We had students analyze and annotate the Declaration of Independence to identify Enlightenment thinkers’ influences.  They utilized USAtestprep.com videos and tech-enhanced performance tasks that allowed students to match quotes from the Declaration to Enlightenment ideas.  We also provided direct instruction.</w:t>
            </w:r>
          </w:p>
        </w:tc>
      </w:tr>
      <w:tr>
        <w:tc>
          <w:tcPr>
            <w:shd w:fill="ea9999"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Which strategies did you use to improve student learning for those who did not meet the learning goal on the initial assessment?  Which of these strategies resulted in the greatest learning gains for students?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We provided access to the teachers’ notes.  Students were also given skeleton notes.  We gave students practice questions on USAtestprep.com.  The USAtestprep resources provided the greatest learning gains because students were exposed to questions structured in similar ways to their assessments.</w:t>
            </w:r>
          </w:p>
        </w:tc>
      </w:tr>
      <w:tr>
        <w:tc>
          <w:tcPr>
            <w:shd w:fill="ea9999"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What enrichment opportunities were provided for students who have already met the standard?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Students were offered excerpts from John Locke’s </w:t>
            </w:r>
            <w:r w:rsidDel="00000000" w:rsidR="00000000" w:rsidRPr="00000000">
              <w:rPr>
                <w:i w:val="1"/>
                <w:sz w:val="24"/>
                <w:szCs w:val="24"/>
                <w:rtl w:val="0"/>
              </w:rPr>
              <w:t xml:space="preserve">Second Treatise on Government</w:t>
            </w:r>
            <w:r w:rsidDel="00000000" w:rsidR="00000000" w:rsidRPr="00000000">
              <w:rPr>
                <w:sz w:val="24"/>
                <w:szCs w:val="24"/>
                <w:rtl w:val="0"/>
              </w:rPr>
              <w:t xml:space="preserve">.  We also provided optional Quizizz and Quizlet activities for students who met the standard.</w:t>
            </w:r>
          </w:p>
        </w:tc>
      </w:tr>
      <w:tr>
        <w:tc>
          <w:tcPr>
            <w:shd w:fill="ea9999"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What action steps have you taken this quarter to improve student learning/performance on the EOC?</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We incorporated analysis of primary sources to help students practice skills.  Specifically, students analyzed and annotated parts of the Articles of Confederation and the Declaration of Independence in addition to some smaller source analysis assignments.  We increased the DOK of our unit assessments.  We used several review activities for priority standards.  We gave students Cornell notes to take notes throughout each unit, and they were informed that these are EOC review guides.  </w:t>
            </w:r>
          </w:p>
        </w:tc>
      </w:tr>
    </w:tbl>
    <w:p w:rsidR="00000000" w:rsidDel="00000000" w:rsidP="00000000" w:rsidRDefault="00000000" w:rsidRPr="00000000" w14:paraId="0000003D">
      <w:pPr>
        <w:rPr>
          <w:sz w:val="24"/>
          <w:szCs w:val="24"/>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sectPr>
      <w:pgSz w:h="12240" w:w="15840"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