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Proficiency Scales v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we give CFA’s use this to rank the CFA, then depending on where kids fall on the rubric- that’s your group- each group's goal is the level above where they ranked on the CFA.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885"/>
        <w:gridCol w:w="5070"/>
        <w:tblGridChange w:id="0">
          <w:tblGrid>
            <w:gridCol w:w="3405"/>
            <w:gridCol w:w="885"/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Levels of Mastery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7b7b7" w:val="clear"/>
                <w:rtl w:val="0"/>
              </w:rPr>
              <w:t xml:space="preserve">Evidence of Mastery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BEYOND/EXPERT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content and skills beyond mastery.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</w:t>
            </w:r>
            <w:r w:rsidDel="00000000" w:rsidR="00000000" w:rsidRPr="00000000">
              <w:rPr>
                <w:color w:val="595959"/>
                <w:sz w:val="24"/>
                <w:szCs w:val="24"/>
                <w:rtl w:val="0"/>
              </w:rPr>
              <w:t xml:space="preserve">learn about product life cycles and then be able to research a specific product to find out the sources of its various components.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MASTERY/MASTER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mastery of content and skills at grade level.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be able to identify and classify Earth’s renewable resources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SIMPLER/PRACTITIONER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demonstrates mastery of content and skills that are simpler than grade level expectations.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explore the characteristics of Earth’s renewable resources and participate in student discourse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PARTIAL/APPRENTICE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depends on teacher support to demonstrate partial mastery of content and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be able to identify and classify Earth’s renewable resources with teacher assistance/accommodations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NONE/NOVICE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 does not demonstrate mastery even with teacher support. (New skill)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will not be able to identify and classify Earth’s renewable resources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