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4"/>
          <w:szCs w:val="64"/>
        </w:rPr>
      </w:pPr>
      <w:r w:rsidDel="00000000" w:rsidR="00000000" w:rsidRPr="00000000">
        <w:rPr>
          <w:sz w:val="64"/>
          <w:szCs w:val="64"/>
          <w:rtl w:val="0"/>
        </w:rPr>
        <w:t xml:space="preserve">Learning Progression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Highlight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the verbs and underline the conte</w:t>
      </w:r>
      <w:r w:rsidDel="00000000" w:rsidR="00000000" w:rsidRPr="00000000">
        <w:rPr>
          <w:i w:val="1"/>
          <w:rtl w:val="0"/>
        </w:rPr>
        <w:t xml:space="preserve">nt in the Essential Standard.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0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4335"/>
        <w:gridCol w:w="4335"/>
        <w:tblGridChange w:id="0">
          <w:tblGrid>
            <w:gridCol w:w="4335"/>
            <w:gridCol w:w="4335"/>
            <w:gridCol w:w="433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Simpler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Essential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More Complex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Grade level below content</w:t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3.7C Explore the characteristics of natural resources that make them useful.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4.7C Identify and classify Earth’s renewable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to extend?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Change the verb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 always going to be the next grade level content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Analyze how they are using renewable resources to resolve.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Fossil fuel      nonrenewable    conservation    resource    silt   dispose   petroleum   </w:t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Renewable   dispose   organism    pollution   classify   retention   compacted    organic   refuse (trash)  hazardous waste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