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46D5" w:rsidRDefault="00800BEE">
      <w:pPr>
        <w:jc w:val="center"/>
      </w:pPr>
      <w:bookmarkStart w:id="0" w:name="_GoBack"/>
      <w:bookmarkEnd w:id="0"/>
      <w:r>
        <w:rPr>
          <w:rFonts w:ascii="Bernard MT Condensed" w:eastAsia="Bernard MT Condensed" w:hAnsi="Bernard MT Condensed" w:cs="Bernard MT Condensed"/>
          <w:sz w:val="28"/>
          <w:szCs w:val="28"/>
        </w:rPr>
        <w:t>Plan - Bowie Team Leader Workshop 2015</w:t>
      </w:r>
    </w:p>
    <w:tbl>
      <w:tblPr>
        <w:tblStyle w:val="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20"/>
        <w:gridCol w:w="6390"/>
        <w:gridCol w:w="1594"/>
        <w:gridCol w:w="2924"/>
      </w:tblGrid>
      <w:tr w:rsidR="005646D5">
        <w:tc>
          <w:tcPr>
            <w:tcW w:w="1188" w:type="dxa"/>
          </w:tcPr>
          <w:p w:rsidR="005646D5" w:rsidRDefault="00800BE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924" w:type="dxa"/>
          </w:tcPr>
          <w:p w:rsidR="005646D5" w:rsidRDefault="00800BE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9:00 </w:t>
            </w:r>
            <w:r>
              <w:rPr>
                <w:rFonts w:ascii="Arial" w:eastAsia="Arial" w:hAnsi="Arial" w:cs="Arial"/>
                <w:sz w:val="20"/>
                <w:szCs w:val="20"/>
              </w:rPr>
              <w:t>-9:20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Welcome 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Workforce sign-in, agenda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goals, &amp; norms ice breaker, meet Critical Friends triads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Andrea</w:t>
            </w:r>
          </w:p>
        </w:tc>
        <w:tc>
          <w:tcPr>
            <w:tcW w:w="292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Table copies of workforce directions; mini-resource copies; big paper of agenda, goals, and norms</w:t>
            </w:r>
          </w:p>
          <w:p w:rsidR="005646D5" w:rsidRDefault="005646D5">
            <w:pPr>
              <w:spacing w:after="0"/>
            </w:pPr>
          </w:p>
        </w:tc>
      </w:tr>
      <w:tr w:rsidR="005646D5">
        <w:trPr>
          <w:trHeight w:val="4120"/>
        </w:trPr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9:20 </w:t>
            </w:r>
            <w:r>
              <w:rPr>
                <w:rFonts w:ascii="Arial" w:eastAsia="Arial" w:hAnsi="Arial" w:cs="Arial"/>
                <w:sz w:val="20"/>
                <w:szCs w:val="20"/>
              </w:rPr>
              <w:t>-9:45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Reflections &amp; The 2015-16 Focus/Charge 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1. Review “Teams Will …” expectations … the PLC cycle</w:t>
            </w:r>
          </w:p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Reflections: </w:t>
            </w:r>
          </w:p>
          <w:p w:rsidR="005646D5" w:rsidRDefault="00800BEE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focused previously on structural changes (common planning, FIT), staff training and summer work, identifying learning targets &amp; non-negotiables, and the development of common assessments </w:t>
            </w:r>
          </w:p>
          <w:p w:rsidR="005646D5" w:rsidRDefault="00800BEE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results:  positive trending EOC results, AP scores, and increased pa</w:t>
            </w:r>
            <w:r>
              <w:rPr>
                <w:rFonts w:ascii="Arial" w:eastAsia="Arial" w:hAnsi="Arial" w:cs="Arial"/>
                <w:sz w:val="20"/>
                <w:szCs w:val="20"/>
              </w:rPr>
              <w:t>ssing rates</w:t>
            </w:r>
          </w:p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3.  2015 Focus: Charge to the Team Leaders</w:t>
            </w:r>
          </w:p>
          <w:p w:rsidR="005646D5" w:rsidRDefault="00800BEE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Strengthen and extend the development and use of common assessments to drive and improve instruction</w:t>
            </w:r>
          </w:p>
          <w:p w:rsidR="005646D5" w:rsidRDefault="00800BEE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promote collective responsibility for the students in your PLC’s course (discussions about and shari</w:t>
            </w:r>
            <w:r>
              <w:rPr>
                <w:rFonts w:ascii="Arial" w:eastAsia="Arial" w:hAnsi="Arial" w:cs="Arial"/>
                <w:sz w:val="20"/>
                <w:szCs w:val="20"/>
              </w:rPr>
              <w:t>ng of specific students – behavioral, grades, accommodations/modifications, extensions, remediation, test prep, etc.)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Mr. Kane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9:45 </w:t>
            </w:r>
            <w:r>
              <w:rPr>
                <w:rFonts w:ascii="Arial" w:eastAsia="Arial" w:hAnsi="Arial" w:cs="Arial"/>
                <w:sz w:val="20"/>
                <w:szCs w:val="20"/>
              </w:rPr>
              <w:t>-10:45</w:t>
            </w:r>
          </w:p>
          <w:p w:rsidR="005646D5" w:rsidRDefault="005646D5">
            <w:pPr>
              <w:spacing w:after="0"/>
            </w:pP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Article Jigsaw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each person at the table reads _______________ and summarizes a portion of the article for table</w:t>
            </w:r>
            <w:r>
              <w:rPr>
                <w:rFonts w:ascii="Arial" w:eastAsia="Arial" w:hAnsi="Arial" w:cs="Arial"/>
                <w:sz w:val="20"/>
                <w:szCs w:val="20"/>
              </w:rPr>
              <w:t>mates</w:t>
            </w:r>
          </w:p>
          <w:p w:rsidR="005646D5" w:rsidRDefault="005646D5">
            <w:pPr>
              <w:spacing w:after="0"/>
            </w:pPr>
          </w:p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Include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during reading time?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Joey</w:t>
            </w:r>
          </w:p>
        </w:tc>
        <w:tc>
          <w:tcPr>
            <w:tcW w:w="292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Jigsaw groups of 3 with each person #1-3 becoming a experts for the “Big Idea #_” section.</w:t>
            </w:r>
          </w:p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Duplicates of each number split to 2 expert groups (there will be 2 Big Idea #1s, etc)</w:t>
            </w:r>
          </w:p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Then they rejoin their original group.</w:t>
            </w: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10:45 -11:00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Critical Friends Chat #1:  The Article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Teachers discuss how the info in the article resonates or connects with how their PLC team is currently functioning - what is the status of your team?  Tell your pa</w:t>
            </w:r>
            <w:r>
              <w:rPr>
                <w:rFonts w:ascii="Arial" w:eastAsia="Arial" w:hAnsi="Arial" w:cs="Arial"/>
                <w:sz w:val="20"/>
                <w:szCs w:val="20"/>
              </w:rPr>
              <w:t>rtners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Susan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11: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0 - 11:45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Bowie’s USH Team:  A PLC Process in Action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USH teams explains and illustrates how they work the PLC process; allow a few minutes for table talk and large group discussion 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Ruth Ann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11:45 - 12:00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Other Teams share their proces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Allow time for other team leaders to share processes their teams use that are working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Ruth Ann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12:00 pm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Sign-out of Workforce, During lunch teachers will create a Kahoot account using their smartphones</w:t>
            </w:r>
          </w:p>
        </w:tc>
        <w:tc>
          <w:tcPr>
            <w:tcW w:w="1594" w:type="dxa"/>
          </w:tcPr>
          <w:p w:rsidR="005646D5" w:rsidRDefault="005646D5">
            <w:pPr>
              <w:spacing w:after="0"/>
            </w:pP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12:30 </w:t>
            </w:r>
            <w:r>
              <w:rPr>
                <w:rFonts w:ascii="Arial" w:eastAsia="Arial" w:hAnsi="Arial" w:cs="Arial"/>
                <w:sz w:val="20"/>
                <w:szCs w:val="20"/>
              </w:rPr>
              <w:t>-12:45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Sign-In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Sign back in, take care of business,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Andrea</w:t>
            </w:r>
          </w:p>
        </w:tc>
        <w:tc>
          <w:tcPr>
            <w:tcW w:w="292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Directions for workforce </w:t>
            </w: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12:45-1:00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Critical Friends Chat #2:  Here’s What I’m Thinking About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after teachers sign-in to Workforce, teachers meet in triads discuss how what they’ve seen or heard thus far (Mr. Ka</w:t>
            </w:r>
            <w:r>
              <w:rPr>
                <w:rFonts w:ascii="Arial" w:eastAsia="Arial" w:hAnsi="Arial" w:cs="Arial"/>
                <w:sz w:val="20"/>
                <w:szCs w:val="20"/>
              </w:rPr>
              <w:t>ne’s charge, article, USH presentation, table talk, etc) resonates or connects with how their PLC team is currently functioning.  Share your thoughts with your partners.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Susan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1:00 </w:t>
            </w:r>
            <w:r>
              <w:rPr>
                <w:rFonts w:ascii="Arial" w:eastAsia="Arial" w:hAnsi="Arial" w:cs="Arial"/>
                <w:sz w:val="20"/>
                <w:szCs w:val="20"/>
              </w:rPr>
              <w:t>-1:30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Getting to Yes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 by SEL coordinator will discuss how to build consensus within a PLC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Hilary Simon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1:30 </w:t>
            </w:r>
            <w:r>
              <w:rPr>
                <w:rFonts w:ascii="Arial" w:eastAsia="Arial" w:hAnsi="Arial" w:cs="Arial"/>
                <w:sz w:val="20"/>
                <w:szCs w:val="20"/>
              </w:rPr>
              <w:t>-1:45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BREAK</w:t>
            </w:r>
          </w:p>
        </w:tc>
        <w:tc>
          <w:tcPr>
            <w:tcW w:w="6390" w:type="dxa"/>
          </w:tcPr>
          <w:p w:rsidR="005646D5" w:rsidRDefault="005646D5">
            <w:pPr>
              <w:spacing w:after="0"/>
            </w:pPr>
          </w:p>
        </w:tc>
        <w:tc>
          <w:tcPr>
            <w:tcW w:w="1594" w:type="dxa"/>
          </w:tcPr>
          <w:p w:rsidR="005646D5" w:rsidRDefault="005646D5">
            <w:pPr>
              <w:spacing w:after="0"/>
            </w:pP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1:45 </w:t>
            </w:r>
            <w:r>
              <w:rPr>
                <w:rFonts w:ascii="Arial" w:eastAsia="Arial" w:hAnsi="Arial" w:cs="Arial"/>
                <w:sz w:val="20"/>
                <w:szCs w:val="20"/>
              </w:rPr>
              <w:t>- 2:45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Taking Stock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Using their smartphones and logging into the Kahoot website, teachers will answer questions about their PLC in 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gards to:  the use of common assessments, the extent of collective responsibility, </w:t>
            </w:r>
            <w:r>
              <w:rPr>
                <w:rFonts w:ascii="Arial" w:eastAsia="Arial" w:hAnsi="Arial" w:cs="Arial"/>
                <w:sz w:val="20"/>
                <w:szCs w:val="20"/>
              </w:rPr>
              <w:t>evaluating student work</w:t>
            </w:r>
            <w:r>
              <w:rPr>
                <w:rFonts w:ascii="Arial" w:eastAsia="Arial" w:hAnsi="Arial" w:cs="Arial"/>
                <w:sz w:val="20"/>
                <w:szCs w:val="20"/>
              </w:rPr>
              <w:t>, and their utilization of FIT; table talk and large group discussion about each topic, challenges, and next steps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Cindi &amp; Joey</w:t>
            </w:r>
          </w:p>
          <w:p w:rsidR="005646D5" w:rsidRDefault="005646D5">
            <w:pPr>
              <w:spacing w:after="0"/>
            </w:pPr>
          </w:p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Susan &amp;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Andrea to chart</w:t>
            </w:r>
          </w:p>
        </w:tc>
        <w:tc>
          <w:tcPr>
            <w:tcW w:w="292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Chart tablets to record observations, next steps and challenges - whole group</w:t>
            </w: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2:45 - </w:t>
            </w:r>
            <w:r>
              <w:rPr>
                <w:rFonts w:ascii="Arial" w:eastAsia="Arial" w:hAnsi="Arial" w:cs="Arial"/>
                <w:sz w:val="20"/>
                <w:szCs w:val="20"/>
              </w:rPr>
              <w:t>3:00 pm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Critical Friends Chat #3:  The Commitment 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Think about the day.  Based on what we have done and the goals to move our campus as a whole, what can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you commit to for your PLC?</w:t>
            </w:r>
          </w:p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Share that idea with your Critical Friends.  </w:t>
            </w:r>
            <w:r>
              <w:rPr>
                <w:rFonts w:ascii="Arial" w:eastAsia="Arial" w:hAnsi="Arial" w:cs="Arial"/>
                <w:sz w:val="20"/>
                <w:szCs w:val="20"/>
              </w:rPr>
              <w:t>With the help and input of their Critical Friends, each team leader will write a measurable goal for 2015-16 related to one of the two charges (common assessment or collective respon</w:t>
            </w:r>
            <w:r>
              <w:rPr>
                <w:rFonts w:ascii="Arial" w:eastAsia="Arial" w:hAnsi="Arial" w:cs="Arial"/>
                <w:sz w:val="20"/>
                <w:szCs w:val="20"/>
              </w:rPr>
              <w:t>sibility); this measurable goal will be the primary focus of the instructional coaches s</w:t>
            </w:r>
            <w:r>
              <w:rPr>
                <w:rFonts w:ascii="Arial" w:eastAsia="Arial" w:hAnsi="Arial" w:cs="Arial"/>
                <w:sz w:val="20"/>
                <w:szCs w:val="20"/>
              </w:rPr>
              <w:t>upport for the PLC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Susan</w:t>
            </w:r>
          </w:p>
        </w:tc>
        <w:tc>
          <w:tcPr>
            <w:tcW w:w="292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Mr. Kane’s 2015 Charge to team leaders slide</w:t>
            </w: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3:00-3:15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Commit to measurable goal!</w:t>
            </w:r>
          </w:p>
        </w:tc>
        <w:tc>
          <w:tcPr>
            <w:tcW w:w="639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 your teams measurable goal in the google doc. </w:t>
            </w: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Andrea</w:t>
            </w:r>
          </w:p>
        </w:tc>
        <w:tc>
          <w:tcPr>
            <w:tcW w:w="292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Google spreadsheet</w:t>
            </w: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>15-3:20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Reflection on the Day</w:t>
            </w:r>
          </w:p>
        </w:tc>
        <w:tc>
          <w:tcPr>
            <w:tcW w:w="6390" w:type="dxa"/>
          </w:tcPr>
          <w:p w:rsidR="005646D5" w:rsidRDefault="005646D5">
            <w:pPr>
              <w:spacing w:after="0"/>
            </w:pP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CIndi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  <w:tr w:rsidR="005646D5">
        <w:tc>
          <w:tcPr>
            <w:tcW w:w="1188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3:20</w:t>
            </w:r>
          </w:p>
        </w:tc>
        <w:tc>
          <w:tcPr>
            <w:tcW w:w="2520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Closing</w:t>
            </w:r>
          </w:p>
        </w:tc>
        <w:tc>
          <w:tcPr>
            <w:tcW w:w="6390" w:type="dxa"/>
          </w:tcPr>
          <w:p w:rsidR="005646D5" w:rsidRDefault="005646D5">
            <w:pPr>
              <w:spacing w:after="0"/>
            </w:pPr>
          </w:p>
        </w:tc>
        <w:tc>
          <w:tcPr>
            <w:tcW w:w="1594" w:type="dxa"/>
          </w:tcPr>
          <w:p w:rsidR="005646D5" w:rsidRDefault="00800BEE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Cindi</w:t>
            </w:r>
          </w:p>
        </w:tc>
        <w:tc>
          <w:tcPr>
            <w:tcW w:w="2924" w:type="dxa"/>
          </w:tcPr>
          <w:p w:rsidR="005646D5" w:rsidRDefault="005646D5">
            <w:pPr>
              <w:spacing w:after="0"/>
            </w:pPr>
          </w:p>
        </w:tc>
      </w:tr>
    </w:tbl>
    <w:p w:rsidR="005646D5" w:rsidRDefault="005646D5"/>
    <w:sectPr w:rsidR="005646D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E54"/>
    <w:multiLevelType w:val="multilevel"/>
    <w:tmpl w:val="65863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2B45F0C"/>
    <w:multiLevelType w:val="multilevel"/>
    <w:tmpl w:val="1CBCC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D5"/>
    <w:rsid w:val="005646D5"/>
    <w:rsid w:val="008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381B0-FF36-4F1D-BA5D-DF8B3FE8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>Austin ISD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Ramirez</dc:creator>
  <cp:lastModifiedBy>Andrea Ramirez</cp:lastModifiedBy>
  <cp:revision>2</cp:revision>
  <dcterms:created xsi:type="dcterms:W3CDTF">2015-09-02T17:07:00Z</dcterms:created>
  <dcterms:modified xsi:type="dcterms:W3CDTF">2015-09-02T17:07:00Z</dcterms:modified>
</cp:coreProperties>
</file>