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05C0" w:rsidRDefault="00995EF4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171450</wp:posOffset>
            </wp:positionV>
            <wp:extent cx="1319213" cy="12763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9710" w:type="dxa"/>
        <w:tblInd w:w="-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10"/>
      </w:tblGrid>
      <w:tr w:rsidR="006205C0">
        <w:tc>
          <w:tcPr>
            <w:tcW w:w="1971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5C0" w:rsidRDefault="00995EF4">
            <w:pPr>
              <w:widowControl w:val="0"/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4th Grade Great Minds </w:t>
            </w:r>
          </w:p>
          <w:p w:rsidR="006205C0" w:rsidRDefault="00995EF4">
            <w:pPr>
              <w:widowControl w:val="0"/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2021-2022 English Language Arts (ELA) Scope and Sequence</w:t>
            </w:r>
          </w:p>
          <w:p w:rsidR="006205C0" w:rsidRDefault="00995EF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hyperlink r:id="rId6">
              <w:r>
                <w:rPr>
                  <w:color w:val="0000EE"/>
                  <w:u w:val="single"/>
                </w:rPr>
                <w:t>4th Grade Lake County ELA Blueprints, Roadmap to Success</w:t>
              </w:r>
            </w:hyperlink>
          </w:p>
        </w:tc>
      </w:tr>
      <w:tr w:rsidR="006205C0">
        <w:trPr>
          <w:trHeight w:val="1260"/>
        </w:trPr>
        <w:tc>
          <w:tcPr>
            <w:tcW w:w="19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5C0" w:rsidRDefault="00995EF4">
            <w:pPr>
              <w:widowControl w:val="0"/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Wit &amp; Wisdom Florida is a comprehensive Grades K–5 English language arts curriculum developed by and for teachers. Each Wit &amp; Wisdom Florida module centers on the study of rich and engaging texts, curated to build student knowledge of important ideas in t</w:t>
            </w:r>
            <w:r>
              <w:rPr>
                <w:i/>
                <w:sz w:val="18"/>
                <w:szCs w:val="18"/>
              </w:rPr>
              <w:t>he liberal arts and the sciences. The approach to learning is integrated and text-based: daily reading, communications, grammar, and vocabulary study is rooted in—and draws on evidence from—exceptional texts.</w:t>
            </w:r>
          </w:p>
          <w:p w:rsidR="006205C0" w:rsidRDefault="006205C0">
            <w:pPr>
              <w:widowControl w:val="0"/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  <w:p w:rsidR="006205C0" w:rsidRDefault="00995EF4">
            <w:pPr>
              <w:widowControl w:val="0"/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The </w:t>
            </w:r>
            <w:proofErr w:type="gramStart"/>
            <w:r>
              <w:rPr>
                <w:i/>
                <w:sz w:val="18"/>
                <w:szCs w:val="18"/>
              </w:rPr>
              <w:t>B.E.S.T  standards</w:t>
            </w:r>
            <w:proofErr w:type="gramEnd"/>
            <w:r>
              <w:rPr>
                <w:i/>
                <w:sz w:val="18"/>
                <w:szCs w:val="18"/>
              </w:rPr>
              <w:t xml:space="preserve"> are the foundation on w</w:t>
            </w:r>
            <w:r>
              <w:rPr>
                <w:i/>
                <w:sz w:val="18"/>
                <w:szCs w:val="18"/>
              </w:rPr>
              <w:t xml:space="preserve">hich a robust curriculum will be built with a full appreciation of history, art, music, and other disciplines that were sidelined in favor of a focus on abstract reading strategies. These standards encourage a broader view of literacy that promotes </w:t>
            </w:r>
            <w:proofErr w:type="gramStart"/>
            <w:r>
              <w:rPr>
                <w:i/>
                <w:sz w:val="18"/>
                <w:szCs w:val="18"/>
              </w:rPr>
              <w:t>knowled</w:t>
            </w:r>
            <w:r>
              <w:rPr>
                <w:i/>
                <w:sz w:val="18"/>
                <w:szCs w:val="18"/>
              </w:rPr>
              <w:t>ge-building</w:t>
            </w:r>
            <w:proofErr w:type="gramEnd"/>
            <w:r>
              <w:rPr>
                <w:i/>
                <w:sz w:val="18"/>
                <w:szCs w:val="18"/>
              </w:rPr>
              <w:t xml:space="preserve"> across varied    domains and subjects, making the integration of content and collaboration among teachers much easier to achieve.</w:t>
            </w:r>
          </w:p>
        </w:tc>
      </w:tr>
    </w:tbl>
    <w:p w:rsidR="006205C0" w:rsidRDefault="006205C0">
      <w:pPr>
        <w:widowControl w:val="0"/>
        <w:spacing w:line="240" w:lineRule="auto"/>
      </w:pPr>
    </w:p>
    <w:p w:rsidR="006205C0" w:rsidRDefault="006205C0">
      <w:pPr>
        <w:widowControl w:val="0"/>
        <w:spacing w:line="240" w:lineRule="auto"/>
      </w:pPr>
    </w:p>
    <w:tbl>
      <w:tblPr>
        <w:tblStyle w:val="a0"/>
        <w:tblW w:w="194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4680"/>
        <w:gridCol w:w="4680"/>
        <w:gridCol w:w="5160"/>
      </w:tblGrid>
      <w:tr w:rsidR="006205C0">
        <w:trPr>
          <w:jc w:val="center"/>
        </w:trPr>
        <w:tc>
          <w:tcPr>
            <w:tcW w:w="489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hyperlink r:id="rId7">
              <w:r>
                <w:rPr>
                  <w:rFonts w:ascii="Calibri" w:eastAsia="Calibri" w:hAnsi="Calibri" w:cs="Calibri"/>
                  <w:b/>
                  <w:color w:val="FFFFFF"/>
                  <w:u w:val="single"/>
                </w:rPr>
                <w:t>Assessment Calendar</w:t>
              </w:r>
            </w:hyperlink>
          </w:p>
        </w:tc>
        <w:tc>
          <w:tcPr>
            <w:tcW w:w="468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5C0" w:rsidRDefault="00995EF4">
            <w:pPr>
              <w:spacing w:line="240" w:lineRule="auto"/>
              <w:jc w:val="center"/>
              <w:rPr>
                <w:color w:val="FFFFFF"/>
              </w:rPr>
            </w:pPr>
            <w:hyperlink r:id="rId8">
              <w:r>
                <w:rPr>
                  <w:rFonts w:ascii="Calibri" w:eastAsia="Calibri" w:hAnsi="Calibri" w:cs="Calibri"/>
                  <w:b/>
                  <w:color w:val="FFFFFF"/>
                  <w:u w:val="single"/>
                </w:rPr>
                <w:t>Authentic Literacy Block</w:t>
              </w:r>
            </w:hyperlink>
          </w:p>
        </w:tc>
        <w:tc>
          <w:tcPr>
            <w:tcW w:w="468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5C0" w:rsidRDefault="00995EF4">
            <w:pPr>
              <w:spacing w:line="240" w:lineRule="auto"/>
              <w:jc w:val="center"/>
              <w:rPr>
                <w:color w:val="FFFFFF"/>
              </w:rPr>
            </w:pPr>
            <w:hyperlink r:id="rId9">
              <w:r>
                <w:rPr>
                  <w:rFonts w:ascii="Calibri" w:eastAsia="Calibri" w:hAnsi="Calibri" w:cs="Calibri"/>
                  <w:b/>
                  <w:color w:val="FFFFFF"/>
                  <w:u w:val="single"/>
                </w:rPr>
                <w:t>B.E.S.T Standards</w:t>
              </w:r>
            </w:hyperlink>
          </w:p>
        </w:tc>
        <w:tc>
          <w:tcPr>
            <w:tcW w:w="516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u w:val="single"/>
              </w:rPr>
            </w:pPr>
            <w:hyperlink r:id="rId10">
              <w:r>
                <w:rPr>
                  <w:rFonts w:ascii="Calibri" w:eastAsia="Calibri" w:hAnsi="Calibri" w:cs="Calibri"/>
                  <w:b/>
                  <w:color w:val="FFFFFF"/>
                  <w:u w:val="single"/>
                </w:rPr>
                <w:t>Vertical Progression of Standards</w:t>
              </w:r>
            </w:hyperlink>
          </w:p>
        </w:tc>
      </w:tr>
    </w:tbl>
    <w:p w:rsidR="006205C0" w:rsidRDefault="006205C0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194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030"/>
        <w:gridCol w:w="5070"/>
        <w:gridCol w:w="3525"/>
        <w:gridCol w:w="2970"/>
        <w:gridCol w:w="3315"/>
      </w:tblGrid>
      <w:tr w:rsidR="006205C0">
        <w:trPr>
          <w:trHeight w:val="597"/>
          <w:jc w:val="center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Suggested Pacing</w:t>
            </w:r>
          </w:p>
        </w:tc>
        <w:tc>
          <w:tcPr>
            <w:tcW w:w="30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Module/Essential Question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Focusing Questions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Spotlight Benchmarks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Integrated Benchmarks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11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 xml:space="preserve">Social Studies Integration 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with Required Supports</w:t>
            </w:r>
          </w:p>
        </w:tc>
      </w:tr>
      <w:tr w:rsidR="006205C0">
        <w:trPr>
          <w:trHeight w:val="440"/>
          <w:jc w:val="center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First week of School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2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Module 0</w:t>
              </w:r>
            </w:hyperlink>
          </w:p>
          <w:p w:rsidR="006205C0" w:rsidRDefault="006205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How does reading help us build knowledge?</w:t>
            </w:r>
          </w:p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This is an introduction to Wit and Wisdom Curriculum. </w:t>
            </w:r>
          </w:p>
        </w:tc>
        <w:tc>
          <w:tcPr>
            <w:tcW w:w="9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Wit and Wisdom leads students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  learn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reading,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writing, speaking, and listening vocabulary, and language skills in concert.  Instead of addressing and assessing standards one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by  one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 in isolation, students learn all skills in the context of module content.</w:t>
            </w:r>
          </w:p>
        </w:tc>
      </w:tr>
      <w:tr w:rsidR="006205C0">
        <w:trPr>
          <w:jc w:val="center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Quarter 1</w:t>
            </w:r>
          </w:p>
          <w:p w:rsidR="006205C0" w:rsidRDefault="006205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205C0" w:rsidRDefault="006205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August 10-</w:t>
            </w:r>
          </w:p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October 7</w:t>
            </w:r>
          </w:p>
          <w:p w:rsidR="006205C0" w:rsidRDefault="006205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13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Pacing calendar</w:t>
              </w:r>
            </w:hyperlink>
          </w:p>
        </w:tc>
        <w:tc>
          <w:tcPr>
            <w:tcW w:w="30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5C0" w:rsidRDefault="006205C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“A Great Heart”</w:t>
            </w:r>
          </w:p>
          <w:p w:rsidR="006205C0" w:rsidRDefault="006205C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What does it mean to have a great heart, literally and figuratively?</w:t>
            </w:r>
          </w:p>
          <w:p w:rsidR="006205C0" w:rsidRDefault="006205C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205C0" w:rsidRDefault="006205C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*</w:t>
            </w:r>
            <w:hyperlink r:id="rId14">
              <w:r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>*</w:t>
              </w:r>
            </w:hyperlink>
            <w:hyperlink r:id="rId15">
              <w:r>
                <w:rPr>
                  <w:rFonts w:ascii="Calibri" w:eastAsia="Calibri" w:hAnsi="Calibri" w:cs="Calibri"/>
                  <w:b/>
                  <w:i/>
                  <w:color w:val="1155CC"/>
                  <w:sz w:val="28"/>
                  <w:szCs w:val="28"/>
                  <w:u w:val="single"/>
                </w:rPr>
                <w:t>32 Lessons Module Map**</w:t>
              </w:r>
            </w:hyperlink>
          </w:p>
          <w:p w:rsidR="006205C0" w:rsidRDefault="00995EF4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Focus Question 1: How does someone show a great heart, figuratively?</w:t>
            </w:r>
          </w:p>
          <w:p w:rsidR="006205C0" w:rsidRDefault="00995EF4">
            <w:pPr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Focus Question 2: What is a great heart, literally?</w:t>
            </w:r>
          </w:p>
          <w:p w:rsidR="006205C0" w:rsidRDefault="00995EF4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Focus Question 3: How do the characters in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 Love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>That Dog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show characteristics of great heart?</w:t>
            </w:r>
          </w:p>
          <w:p w:rsidR="006205C0" w:rsidRDefault="00995EF4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Focus Question 4: What does it mean to 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ave a great heart, literally and figuratively?</w:t>
            </w:r>
          </w:p>
          <w:p w:rsidR="006205C0" w:rsidRDefault="006205C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 xml:space="preserve">Reading-Interpreting Figurative Language </w:t>
            </w:r>
          </w:p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ELA.4.R.3.1 Explain how figurative language contributes to meaning in text(s). </w:t>
            </w:r>
          </w:p>
          <w:p w:rsidR="006205C0" w:rsidRDefault="006205C0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Informative Writing</w:t>
            </w:r>
          </w:p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ELA.4.C.1.4 Write expository texts about a topic, using multiple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sources, elaboration, and an organizational structure with transitions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6205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tbl>
            <w:tblPr>
              <w:tblStyle w:val="a2"/>
              <w:tblW w:w="2890" w:type="dxa"/>
              <w:jc w:val="center"/>
              <w:tblLayout w:type="fixed"/>
              <w:tblLook w:val="0600" w:firstRow="0" w:lastRow="0" w:firstColumn="0" w:lastColumn="0" w:noHBand="1" w:noVBand="1"/>
            </w:tblPr>
            <w:tblGrid>
              <w:gridCol w:w="1445"/>
              <w:gridCol w:w="1445"/>
            </w:tblGrid>
            <w:tr w:rsidR="006205C0">
              <w:trPr>
                <w:jc w:val="center"/>
              </w:trPr>
              <w:tc>
                <w:tcPr>
                  <w:tcW w:w="1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205C0" w:rsidRDefault="00995EF4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ELA.4.R.1.1</w:t>
                  </w:r>
                </w:p>
                <w:p w:rsidR="006205C0" w:rsidRDefault="00995EF4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ELA.4.R.1.2</w:t>
                  </w:r>
                </w:p>
                <w:p w:rsidR="006205C0" w:rsidRDefault="00995EF4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ELA.4.R.1.3 </w:t>
                  </w:r>
                </w:p>
                <w:p w:rsidR="006205C0" w:rsidRDefault="00995EF4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ELA.4.R.1.4</w:t>
                  </w:r>
                </w:p>
                <w:p w:rsidR="006205C0" w:rsidRDefault="00995EF4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ELA.4.R.2.1</w:t>
                  </w:r>
                </w:p>
                <w:p w:rsidR="006205C0" w:rsidRDefault="00995EF4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ELA.4.R.2.2</w:t>
                  </w:r>
                </w:p>
                <w:p w:rsidR="006205C0" w:rsidRDefault="00995EF4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ELA.4.R.2.3 </w:t>
                  </w:r>
                </w:p>
                <w:p w:rsidR="006205C0" w:rsidRDefault="00995EF4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ELA.4.R.3.2 </w:t>
                  </w:r>
                </w:p>
                <w:p w:rsidR="006205C0" w:rsidRDefault="00995EF4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ELA.4.R.3.3</w:t>
                  </w:r>
                </w:p>
                <w:p w:rsidR="006205C0" w:rsidRDefault="00995EF4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205C0" w:rsidRDefault="00995EF4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ELA.4.C.2.1</w:t>
                  </w:r>
                </w:p>
                <w:p w:rsidR="006205C0" w:rsidRDefault="006205C0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6205C0" w:rsidRDefault="00995EF4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ELA.4.V.1.2</w:t>
                  </w:r>
                </w:p>
                <w:p w:rsidR="006205C0" w:rsidRDefault="00995EF4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ELA.4.V.1.3</w:t>
                  </w:r>
                </w:p>
              </w:tc>
            </w:tr>
          </w:tbl>
          <w:p w:rsidR="006205C0" w:rsidRDefault="006205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995EF4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u w:val="single"/>
              </w:rPr>
            </w:pPr>
            <w:hyperlink r:id="rId16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highlight w:val="yellow"/>
                  <w:u w:val="single"/>
                </w:rPr>
                <w:t>Social Studies Integration Sheet</w:t>
              </w:r>
            </w:hyperlink>
          </w:p>
          <w:p w:rsidR="006205C0" w:rsidRDefault="006205C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995E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DBQ-Why is Freedom of the Press Essential to a Democracy?</w:t>
            </w:r>
          </w:p>
          <w:p w:rsidR="006205C0" w:rsidRDefault="006205C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995E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DBQ-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Cabeza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Vaca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 How Did He Survive?</w:t>
            </w:r>
          </w:p>
          <w:p w:rsidR="006205C0" w:rsidRDefault="006205C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995E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17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American Founder’s Month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</w:p>
          <w:p w:rsidR="006205C0" w:rsidRDefault="00995E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18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Constitution Day</w:t>
              </w:r>
            </w:hyperlink>
          </w:p>
          <w:p w:rsidR="006205C0" w:rsidRDefault="00995E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19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Celebrate Freedom Week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Last full week of September</w:t>
            </w:r>
          </w:p>
          <w:p w:rsidR="006205C0" w:rsidRDefault="00995E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20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Hispanic Heritage Month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</w:p>
          <w:p w:rsidR="006205C0" w:rsidRDefault="006205C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205C0">
        <w:trPr>
          <w:jc w:val="center"/>
        </w:trPr>
        <w:tc>
          <w:tcPr>
            <w:tcW w:w="1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lastRenderedPageBreak/>
              <w:t>Quarter 2</w:t>
            </w:r>
          </w:p>
          <w:p w:rsidR="006205C0" w:rsidRDefault="006205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205C0" w:rsidRDefault="006205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October 11 - December 16</w:t>
            </w:r>
          </w:p>
          <w:p w:rsidR="006205C0" w:rsidRDefault="006205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21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Pacing calendar</w:t>
              </w:r>
            </w:hyperlink>
          </w:p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22">
              <w:r>
                <w:rPr>
                  <w:color w:val="0000EE"/>
                  <w:u w:val="single"/>
                </w:rPr>
                <w:t xml:space="preserve">4th Grade </w:t>
              </w:r>
              <w:r>
                <w:rPr>
                  <w:color w:val="0000EE"/>
                  <w:u w:val="single"/>
                </w:rPr>
                <w:t>Modified Pacing Guide</w:t>
              </w:r>
            </w:hyperlink>
          </w:p>
          <w:p w:rsidR="006205C0" w:rsidRDefault="006205C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5C0" w:rsidRDefault="006205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“Extreme Settings”</w:t>
            </w:r>
          </w:p>
          <w:p w:rsidR="006205C0" w:rsidRDefault="006205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How does a challenging setting or physical environment change a person?</w:t>
            </w:r>
          </w:p>
          <w:p w:rsidR="006205C0" w:rsidRDefault="006205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6205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6205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6205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6205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  <w:u w:val="single"/>
              </w:rPr>
            </w:pPr>
            <w:hyperlink r:id="rId23">
              <w:r>
                <w:rPr>
                  <w:rFonts w:ascii="Calibri" w:eastAsia="Calibri" w:hAnsi="Calibri" w:cs="Calibri"/>
                  <w:b/>
                  <w:i/>
                  <w:color w:val="1155CC"/>
                  <w:sz w:val="28"/>
                  <w:szCs w:val="28"/>
                  <w:u w:val="single"/>
                </w:rPr>
                <w:t>**34 Lessons (Modul</w:t>
              </w:r>
              <w:r>
                <w:rPr>
                  <w:rFonts w:ascii="Calibri" w:eastAsia="Calibri" w:hAnsi="Calibri" w:cs="Calibri"/>
                  <w:b/>
                  <w:i/>
                  <w:color w:val="1155CC"/>
                  <w:sz w:val="28"/>
                  <w:szCs w:val="28"/>
                  <w:u w:val="single"/>
                </w:rPr>
                <w:t>e Map)**</w:t>
              </w:r>
            </w:hyperlink>
          </w:p>
          <w:p w:rsidR="006205C0" w:rsidRDefault="00995EF4">
            <w:pPr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Focus Question: 1: How does the setting affect the characters or speakers in the text?</w:t>
            </w:r>
          </w:p>
          <w:p w:rsidR="006205C0" w:rsidRDefault="00995EF4">
            <w:pPr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Focus Question 2: What makes a mountainous environment extreme?</w:t>
            </w:r>
          </w:p>
          <w:p w:rsidR="006205C0" w:rsidRDefault="00995EF4">
            <w:pPr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Focus Question: 3: How does setting influence character and plot development?</w:t>
            </w:r>
          </w:p>
          <w:p w:rsidR="006205C0" w:rsidRDefault="00995EF4">
            <w:pPr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Focus Question 4: How does a challenging setting or physical environment change a person?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Reading:  Literary Elements</w:t>
            </w:r>
          </w:p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ELA.4.R.1.1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Explain how setting, events, conflict, and character development contribute to the plot in a literary text. </w:t>
            </w:r>
          </w:p>
          <w:p w:rsidR="006205C0" w:rsidRDefault="006205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 xml:space="preserve">Narrative Writing </w:t>
            </w:r>
          </w:p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ELA.4.C.1.2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Write personal or fictional narratives using a logical sequence of events and demonstrating an effective use of techniques such as descriptions and transitional words and phras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es.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995EF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ELA.4.R.1.2              ELA.4.C.1.4</w:t>
            </w:r>
          </w:p>
          <w:p w:rsidR="006205C0" w:rsidRDefault="00995EF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ELA.4.R.1.3             ELA.4.C.2.1 </w:t>
            </w:r>
          </w:p>
          <w:p w:rsidR="006205C0" w:rsidRDefault="00995EF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ELA.4.R.1.4              ELA.4.C.5.1</w:t>
            </w:r>
          </w:p>
          <w:p w:rsidR="006205C0" w:rsidRDefault="00995EF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ELA.4.R.2.1 </w:t>
            </w:r>
          </w:p>
          <w:p w:rsidR="006205C0" w:rsidRDefault="00995EF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ELA.4.R.2.2             ELA.4.V.1.2</w:t>
            </w:r>
          </w:p>
          <w:p w:rsidR="006205C0" w:rsidRDefault="00995EF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ELA.4.R.2.3             ELA.4.V.1.3</w:t>
            </w:r>
          </w:p>
          <w:p w:rsidR="006205C0" w:rsidRDefault="00995EF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ELA.4.R.3.2</w:t>
            </w:r>
          </w:p>
          <w:p w:rsidR="006205C0" w:rsidRDefault="00995EF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ELA.4.R.3.3 </w:t>
            </w:r>
          </w:p>
          <w:p w:rsidR="006205C0" w:rsidRDefault="006205C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6205C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6205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995E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24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highlight w:val="yellow"/>
                  <w:u w:val="single"/>
                </w:rPr>
                <w:t>Social Studies Integration Sheet</w:t>
              </w:r>
            </w:hyperlink>
          </w:p>
          <w:p w:rsidR="006205C0" w:rsidRDefault="006205C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995E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25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Red Ribbon Week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>- Oct. 23-31</w:t>
            </w:r>
          </w:p>
          <w:p w:rsidR="006205C0" w:rsidRDefault="00995E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26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Holocaust Education Wee</w:t>
              </w:r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k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-Second week in November </w:t>
            </w:r>
          </w:p>
        </w:tc>
      </w:tr>
      <w:tr w:rsidR="006205C0">
        <w:trPr>
          <w:jc w:val="center"/>
        </w:trPr>
        <w:tc>
          <w:tcPr>
            <w:tcW w:w="1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Quarter 3</w:t>
            </w:r>
          </w:p>
          <w:p w:rsidR="006205C0" w:rsidRDefault="006205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205C0" w:rsidRDefault="006205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January 4 - March 10</w:t>
            </w:r>
          </w:p>
          <w:p w:rsidR="006205C0" w:rsidRDefault="006205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27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Pacing calendar</w:t>
              </w:r>
            </w:hyperlink>
          </w:p>
        </w:tc>
        <w:tc>
          <w:tcPr>
            <w:tcW w:w="30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5C0" w:rsidRDefault="006205C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“The Redcoats Are Coming!”</w:t>
            </w:r>
          </w:p>
          <w:p w:rsidR="006205C0" w:rsidRDefault="006205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6205C0">
            <w:pPr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Why is it important to understand all sides of a story?</w:t>
            </w:r>
          </w:p>
          <w:p w:rsidR="006205C0" w:rsidRDefault="006205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995EF4">
            <w:pPr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34 Lessons (Module Map)</w:t>
            </w:r>
          </w:p>
          <w:p w:rsidR="006205C0" w:rsidRDefault="00995EF4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Focus Question 1: What were the perspectives of the two main sides of the American Revolution?</w:t>
            </w:r>
          </w:p>
          <w:p w:rsidR="006205C0" w:rsidRDefault="00995EF4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Focus Question 2: How did different people’s experiences affect their perspectiv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es on the American Revolution?</w:t>
            </w:r>
          </w:p>
          <w:p w:rsidR="006205C0" w:rsidRDefault="00995EF4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Focus Question 3: How did different people’s perspectives affect their actions during the American Revolution?</w:t>
            </w:r>
          </w:p>
          <w:p w:rsidR="006205C0" w:rsidRDefault="00995EF4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Focus Question 4: What drove the Patriots to fight for their independence from Britain?</w:t>
            </w:r>
          </w:p>
          <w:p w:rsidR="006205C0" w:rsidRDefault="006205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6205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6205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6205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Reading- Perspective a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nd Point of View</w:t>
            </w:r>
          </w:p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ELA.4.RL.1.3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-Identify the narrator’s point of view and explain the difference between a narrator’s point of view and character perspective in a literary text.</w:t>
            </w:r>
          </w:p>
          <w:p w:rsidR="006205C0" w:rsidRDefault="006205C0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Purpose and Perspective</w:t>
            </w:r>
          </w:p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ELA.4.R.2.3-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Explain an author's perspective toward a topic in an informational text.</w:t>
            </w:r>
          </w:p>
          <w:p w:rsidR="006205C0" w:rsidRDefault="006205C0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Comparative Reading</w:t>
            </w:r>
          </w:p>
          <w:p w:rsidR="006205C0" w:rsidRDefault="00995EF4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ELA.4.R.3.3-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Compare and contrast accounts of the same event using primary and/or secondary sources.</w:t>
            </w:r>
          </w:p>
          <w:p w:rsidR="006205C0" w:rsidRDefault="006205C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Argumentative Writing </w:t>
            </w:r>
          </w:p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ELA.4.C.1.3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Write to make a claim supporting a perspective with logical reasons, using evidence from multiple sources, elaboration, and an organizational structure with transitions</w:t>
            </w:r>
          </w:p>
          <w:p w:rsidR="006205C0" w:rsidRDefault="006205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 xml:space="preserve">Researching and Using Information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ELA.4.C.4.1-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Conduct research to answer a question, 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rganizing information about the topic, using multiple valid sources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6205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tbl>
            <w:tblPr>
              <w:tblStyle w:val="a3"/>
              <w:tblW w:w="2890" w:type="dxa"/>
              <w:jc w:val="center"/>
              <w:tblLayout w:type="fixed"/>
              <w:tblLook w:val="0600" w:firstRow="0" w:lastRow="0" w:firstColumn="0" w:lastColumn="0" w:noHBand="1" w:noVBand="1"/>
            </w:tblPr>
            <w:tblGrid>
              <w:gridCol w:w="1445"/>
              <w:gridCol w:w="1445"/>
            </w:tblGrid>
            <w:tr w:rsidR="006205C0">
              <w:trPr>
                <w:jc w:val="center"/>
              </w:trPr>
              <w:tc>
                <w:tcPr>
                  <w:tcW w:w="1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205C0" w:rsidRDefault="00995EF4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ELA.4.R.1.1</w:t>
                  </w:r>
                </w:p>
                <w:p w:rsidR="006205C0" w:rsidRDefault="00995EF4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ELA.4.R.1.2</w:t>
                  </w:r>
                </w:p>
                <w:p w:rsidR="006205C0" w:rsidRDefault="00995EF4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ELA.4.R.2.1</w:t>
                  </w:r>
                </w:p>
                <w:p w:rsidR="006205C0" w:rsidRDefault="00995EF4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ELA.4.R.2.4</w:t>
                  </w:r>
                </w:p>
                <w:p w:rsidR="006205C0" w:rsidRDefault="00995EF4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ELA.4.R.3.1</w:t>
                  </w:r>
                </w:p>
                <w:p w:rsidR="006205C0" w:rsidRDefault="00995EF4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ELA.4.R.3.2</w:t>
                  </w:r>
                </w:p>
              </w:tc>
              <w:tc>
                <w:tcPr>
                  <w:tcW w:w="1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205C0" w:rsidRDefault="00995EF4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ELA.4.C.1.4</w:t>
                  </w:r>
                </w:p>
                <w:p w:rsidR="006205C0" w:rsidRDefault="00995EF4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ELA.4.C.2.1</w:t>
                  </w:r>
                </w:p>
                <w:p w:rsidR="006205C0" w:rsidRDefault="00995EF4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ELA.4.C.5.2</w:t>
                  </w:r>
                </w:p>
                <w:p w:rsidR="006205C0" w:rsidRDefault="006205C0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6205C0" w:rsidRDefault="00995EF4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ELA.4.V.1.3</w:t>
                  </w:r>
                </w:p>
              </w:tc>
            </w:tr>
          </w:tbl>
          <w:p w:rsidR="006205C0" w:rsidRDefault="006205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6205C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995E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28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highlight w:val="yellow"/>
                  <w:u w:val="single"/>
                </w:rPr>
                <w:t>Social Studies Integration Sheet</w:t>
              </w:r>
            </w:hyperlink>
          </w:p>
          <w:p w:rsidR="006205C0" w:rsidRDefault="006205C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995E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DBQ-How Free Were Free Blacks in the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North?</w:t>
            </w:r>
            <w:proofErr w:type="gramEnd"/>
          </w:p>
          <w:p w:rsidR="006205C0" w:rsidRDefault="006205C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995E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DBQ-What Was Harriet Tubman’s Greatest Achievement?</w:t>
            </w:r>
          </w:p>
          <w:p w:rsidR="006205C0" w:rsidRDefault="006205C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995E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29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Black History Month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Feb</w:t>
            </w:r>
          </w:p>
          <w:p w:rsidR="006205C0" w:rsidRDefault="00995E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30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African American History Task Force</w:t>
              </w:r>
            </w:hyperlink>
          </w:p>
          <w:p w:rsidR="006205C0" w:rsidRDefault="00995E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31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Women’s History Month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Mar.</w:t>
            </w:r>
          </w:p>
        </w:tc>
      </w:tr>
      <w:tr w:rsidR="006205C0">
        <w:trPr>
          <w:jc w:val="center"/>
        </w:trPr>
        <w:tc>
          <w:tcPr>
            <w:tcW w:w="1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Quarter 4</w:t>
            </w:r>
          </w:p>
          <w:p w:rsidR="006205C0" w:rsidRDefault="006205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205C0" w:rsidRDefault="006205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March 21 -</w:t>
            </w:r>
          </w:p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May 27</w:t>
            </w:r>
          </w:p>
          <w:p w:rsidR="006205C0" w:rsidRDefault="006205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32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Pacing calendar</w:t>
              </w:r>
            </w:hyperlink>
          </w:p>
        </w:tc>
        <w:tc>
          <w:tcPr>
            <w:tcW w:w="30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5C0" w:rsidRDefault="006205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“Myth Making”</w:t>
            </w:r>
          </w:p>
          <w:p w:rsidR="006205C0" w:rsidRDefault="006205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What can we learn from myths and stories?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  <w:p w:rsidR="006205C0" w:rsidRDefault="006205C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995EF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34 Lessons (Module Map)</w:t>
            </w:r>
          </w:p>
          <w:p w:rsidR="006205C0" w:rsidRDefault="006205C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</w:pPr>
          </w:p>
          <w:p w:rsidR="006205C0" w:rsidRDefault="00995EF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Focus Question 1: What are myths, and why do people create them?</w:t>
            </w:r>
          </w:p>
          <w:p w:rsidR="006205C0" w:rsidRDefault="00995EF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FocusQuestion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2: What do myths and stories from different cultures have in common?</w:t>
            </w:r>
            <w:proofErr w:type="gramEnd"/>
          </w:p>
          <w:p w:rsidR="006205C0" w:rsidRDefault="00995EF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Focus Question 3: How are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Sal’s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and Phoebe’s stories connected in Walk Two Moons?</w:t>
            </w:r>
          </w:p>
          <w:p w:rsidR="006205C0" w:rsidRDefault="00995EF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Focus Question 4: What doe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 Sal learn in Walk Two Moon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?</w:t>
            </w:r>
          </w:p>
          <w:p w:rsidR="006205C0" w:rsidRDefault="006205C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lastRenderedPageBreak/>
              <w:t xml:space="preserve">Reading -Theme </w:t>
            </w:r>
          </w:p>
          <w:p w:rsidR="006205C0" w:rsidRDefault="00995EF4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 xml:space="preserve">ELA.4.RL.1.2-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Explain a stated or implied theme and how it develops, using details, in a literary text</w:t>
            </w:r>
          </w:p>
          <w:p w:rsidR="006205C0" w:rsidRDefault="006205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 xml:space="preserve">Expository Writing </w:t>
            </w:r>
          </w:p>
          <w:p w:rsidR="006205C0" w:rsidRDefault="00995EF4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ELA.4.C.1.4-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Write expository texts about a topic, using multiple sources, elaboration,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and an organizational structure with transitions.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995EF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ELA.4.R.1.1              ELA.4.C.2.1 </w:t>
            </w:r>
          </w:p>
          <w:p w:rsidR="006205C0" w:rsidRDefault="00995EF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ELA.4.R.1.3              ELA.4.C.5.1</w:t>
            </w:r>
          </w:p>
          <w:p w:rsidR="006205C0" w:rsidRDefault="00995EF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ELA.4.R.1.4    </w:t>
            </w:r>
          </w:p>
          <w:p w:rsidR="006205C0" w:rsidRDefault="00995EF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ELA.4.R.2.2              ELA.4.V.1.2</w:t>
            </w:r>
          </w:p>
          <w:p w:rsidR="006205C0" w:rsidRDefault="00995EF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ELA.4.R.3.2              ELA.4.V.1.3</w:t>
            </w:r>
          </w:p>
          <w:p w:rsidR="006205C0" w:rsidRDefault="00995EF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ELA.4.R.3.3</w:t>
            </w:r>
          </w:p>
          <w:p w:rsidR="006205C0" w:rsidRDefault="006205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6205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6205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995E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6205C0" w:rsidRDefault="006205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5C0" w:rsidRDefault="00995E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33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highlight w:val="yellow"/>
                  <w:u w:val="single"/>
                </w:rPr>
                <w:t>Social Studies Integration Sheet</w:t>
              </w:r>
            </w:hyperlink>
          </w:p>
          <w:p w:rsidR="006205C0" w:rsidRDefault="006205C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205C0" w:rsidRDefault="00995E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34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Medal of Honor Da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>y - Mar. 25</w:t>
            </w:r>
          </w:p>
          <w:p w:rsidR="006205C0" w:rsidRDefault="00995EF4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35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Holocaust Education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May</w:t>
            </w:r>
          </w:p>
        </w:tc>
      </w:tr>
    </w:tbl>
    <w:p w:rsidR="006205C0" w:rsidRDefault="006205C0"/>
    <w:p w:rsidR="006205C0" w:rsidRDefault="006205C0"/>
    <w:sectPr w:rsidR="006205C0">
      <w:pgSz w:w="20160" w:h="12240" w:orient="landscape"/>
      <w:pgMar w:top="144" w:right="720" w:bottom="14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773C"/>
    <w:multiLevelType w:val="multilevel"/>
    <w:tmpl w:val="2002789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754F4C"/>
    <w:multiLevelType w:val="multilevel"/>
    <w:tmpl w:val="BAF00C8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E60308"/>
    <w:multiLevelType w:val="multilevel"/>
    <w:tmpl w:val="01C4FC2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A81D7E"/>
    <w:multiLevelType w:val="multilevel"/>
    <w:tmpl w:val="253CBDE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C0"/>
    <w:rsid w:val="006205C0"/>
    <w:rsid w:val="0099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BE7A3-C151-4858-ADBB-93D82257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Y8P_UKsLb9oCaa8aX8tq857ufYPVkB5CTpng4rId2vQ/edit?usp=sharing" TargetMode="External"/><Relationship Id="rId18" Type="http://schemas.openxmlformats.org/officeDocument/2006/relationships/hyperlink" Target="https://constitutioncenter.org/constitution-day/" TargetMode="External"/><Relationship Id="rId26" Type="http://schemas.openxmlformats.org/officeDocument/2006/relationships/hyperlink" Target="http://www.fldoe.org/holocausteducation/about-us.stml" TargetMode="External"/><Relationship Id="rId21" Type="http://schemas.openxmlformats.org/officeDocument/2006/relationships/hyperlink" Target="https://docs.google.com/document/d/1Y8P_UKsLb9oCaa8aX8tq857ufYPVkB5CTpng4rId2vQ/edit?usp=sharing" TargetMode="External"/><Relationship Id="rId34" Type="http://schemas.openxmlformats.org/officeDocument/2006/relationships/hyperlink" Target="https://themedalofhonor.com/" TargetMode="External"/><Relationship Id="rId7" Type="http://schemas.openxmlformats.org/officeDocument/2006/relationships/hyperlink" Target="https://drive.google.com/file/d/17xiDlGrtNRgSabSueQFgFPCwlGb8Ls9b/view?usp=sharing" TargetMode="External"/><Relationship Id="rId12" Type="http://schemas.openxmlformats.org/officeDocument/2006/relationships/hyperlink" Target="https://drive.google.com/file/d/19EPLilns1WxgoFvGlowA0I-r3Bl-fbxo/view?usp=sharing" TargetMode="External"/><Relationship Id="rId17" Type="http://schemas.openxmlformats.org/officeDocument/2006/relationships/hyperlink" Target="http://www.fldoe.org/academics/standards/subject-areas/social-studies/American-Founders-Month.stml" TargetMode="External"/><Relationship Id="rId25" Type="http://schemas.openxmlformats.org/officeDocument/2006/relationships/hyperlink" Target="http://redribbon.org/theme/" TargetMode="External"/><Relationship Id="rId33" Type="http://schemas.openxmlformats.org/officeDocument/2006/relationships/hyperlink" Target="https://docs.google.com/spreadsheets/d/1zK0zEK41VJweyNENLT5cEWZfh_FAYPjCHCjFQ2fWLXk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zK0zEK41VJweyNENLT5cEWZfh_FAYPjCHCjFQ2fWLXk/edit?usp=sharing" TargetMode="External"/><Relationship Id="rId20" Type="http://schemas.openxmlformats.org/officeDocument/2006/relationships/hyperlink" Target="https://www.hispanicheritagemonth.gov/" TargetMode="External"/><Relationship Id="rId29" Type="http://schemas.openxmlformats.org/officeDocument/2006/relationships/hyperlink" Target="http://www.floridablackhistor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uw7M3XZe1oyooDvMPo4EAn9hwdkbr9Caf977Ww_d0Is/edit?usp=sharing" TargetMode="External"/><Relationship Id="rId11" Type="http://schemas.openxmlformats.org/officeDocument/2006/relationships/hyperlink" Target="https://docs.google.com/spreadsheets/d/1zK0zEK41VJweyNENLT5cEWZfh_FAYPjCHCjFQ2fWLXk/edit?usp=sharing" TargetMode="External"/><Relationship Id="rId24" Type="http://schemas.openxmlformats.org/officeDocument/2006/relationships/hyperlink" Target="https://docs.google.com/spreadsheets/d/1zK0zEK41VJweyNENLT5cEWZfh_FAYPjCHCjFQ2fWLXk/edit?usp=sharing" TargetMode="External"/><Relationship Id="rId32" Type="http://schemas.openxmlformats.org/officeDocument/2006/relationships/hyperlink" Target="https://docs.google.com/document/d/1Y8P_UKsLb9oCaa8aX8tq857ufYPVkB5CTpng4rId2vQ/edit?usp=sharing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docs.google.com/document/d/1ao1i51XJh8l0qPhKNTE-ykulVCHtFOniNniSZlDvDZc/edit?usp=sharing" TargetMode="External"/><Relationship Id="rId23" Type="http://schemas.openxmlformats.org/officeDocument/2006/relationships/hyperlink" Target="https://docs.google.com/document/d/1OGXl57v_jVFKsx8c9ht37M91vr40JOGP5Kj1BwvvaqM/edit?usp=sharing" TargetMode="External"/><Relationship Id="rId28" Type="http://schemas.openxmlformats.org/officeDocument/2006/relationships/hyperlink" Target="https://docs.google.com/spreadsheets/d/1zK0zEK41VJweyNENLT5cEWZfh_FAYPjCHCjFQ2fWLXk/edit?usp=shari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rive.google.com/drive/folders/1GvtKphSkasEmY0avPzpSX6CDWOT-D-FV?usp=sharing" TargetMode="External"/><Relationship Id="rId19" Type="http://schemas.openxmlformats.org/officeDocument/2006/relationships/hyperlink" Target="http://floridacitizen.org/posts/resources-for-constitution-day-and-freedom-week" TargetMode="External"/><Relationship Id="rId31" Type="http://schemas.openxmlformats.org/officeDocument/2006/relationships/hyperlink" Target="https://womenshistorymonth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palmsmediaprod.blob.core.windows.net/uploads/docs/standards/best/la/elabeststandardsfinal.pdf" TargetMode="External"/><Relationship Id="rId14" Type="http://schemas.openxmlformats.org/officeDocument/2006/relationships/hyperlink" Target="https://docs.google.com/document/d/1ao1i51XJh8l0qPhKNTE-ykulVCHtFOniNniSZlDvDZc/edit?usp=sharing" TargetMode="External"/><Relationship Id="rId22" Type="http://schemas.openxmlformats.org/officeDocument/2006/relationships/hyperlink" Target="https://docs.google.com/document/d/1WkCIzSyOaayu02O6KGn6_vGAWsLxSjysdTLo0hwpURo/edit?usp=sharing" TargetMode="External"/><Relationship Id="rId27" Type="http://schemas.openxmlformats.org/officeDocument/2006/relationships/hyperlink" Target="https://docs.google.com/document/d/1Y8P_UKsLb9oCaa8aX8tq857ufYPVkB5CTpng4rId2vQ/edit?usp=sharing" TargetMode="External"/><Relationship Id="rId30" Type="http://schemas.openxmlformats.org/officeDocument/2006/relationships/hyperlink" Target="http://afroamfl.org/" TargetMode="External"/><Relationship Id="rId35" Type="http://schemas.openxmlformats.org/officeDocument/2006/relationships/hyperlink" Target="http://www.flholocausteducationtaskforce.org/" TargetMode="External"/><Relationship Id="rId8" Type="http://schemas.openxmlformats.org/officeDocument/2006/relationships/hyperlink" Target="https://docs.google.com/document/d/14Rry588inB1mU9IUDv0aZwOit4LTA1F8Amh_pI_wtG4/edit?usp=sharin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Obando, Laine C</dc:creator>
  <cp:lastModifiedBy>Obando, Laine C</cp:lastModifiedBy>
  <cp:revision>2</cp:revision>
  <dcterms:created xsi:type="dcterms:W3CDTF">2021-10-08T17:02:00Z</dcterms:created>
  <dcterms:modified xsi:type="dcterms:W3CDTF">2021-10-08T17:02:00Z</dcterms:modified>
</cp:coreProperties>
</file>