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32" w:rsidRPr="002061FE" w:rsidRDefault="007C6F32" w:rsidP="007C6F32">
      <w:pPr>
        <w:jc w:val="center"/>
        <w:rPr>
          <w:rFonts w:ascii="Century Gothic" w:hAnsi="Century Gothic"/>
          <w:b/>
          <w:sz w:val="32"/>
          <w:szCs w:val="36"/>
        </w:rPr>
      </w:pPr>
      <w:bookmarkStart w:id="0" w:name="_GoBack"/>
      <w:bookmarkEnd w:id="0"/>
      <w:r w:rsidRPr="002061FE">
        <w:rPr>
          <w:rFonts w:ascii="Century Gothic" w:hAnsi="Century Gothic"/>
          <w:b/>
          <w:sz w:val="32"/>
          <w:szCs w:val="36"/>
        </w:rPr>
        <w:t>Reflective Questions</w:t>
      </w:r>
    </w:p>
    <w:p w:rsidR="00015E60" w:rsidRPr="00D11A11" w:rsidRDefault="00D62766" w:rsidP="0063410E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11A11">
        <w:rPr>
          <w:rFonts w:ascii="Century Gothic" w:hAnsi="Century Gothic"/>
        </w:rPr>
        <w:t>Have we</w:t>
      </w:r>
      <w:r w:rsidR="007C6F32" w:rsidRPr="00D11A11">
        <w:rPr>
          <w:rFonts w:ascii="Century Gothic" w:hAnsi="Century Gothic"/>
        </w:rPr>
        <w:t xml:space="preserve"> deconstructed the standard?</w:t>
      </w:r>
    </w:p>
    <w:p w:rsidR="00B30105" w:rsidRPr="00D11A11" w:rsidRDefault="00B30105" w:rsidP="00B30105">
      <w:pPr>
        <w:pStyle w:val="ListParagraph"/>
        <w:rPr>
          <w:rFonts w:ascii="Century Gothic" w:hAnsi="Century Gothic"/>
        </w:rPr>
      </w:pPr>
    </w:p>
    <w:p w:rsidR="007C6F32" w:rsidRPr="00D11A11" w:rsidRDefault="007C6F32" w:rsidP="007C6F3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11A11">
        <w:rPr>
          <w:rFonts w:ascii="Century Gothic" w:hAnsi="Century Gothic"/>
        </w:rPr>
        <w:t xml:space="preserve">How will </w:t>
      </w:r>
      <w:r w:rsidR="00D62766" w:rsidRPr="00D11A11">
        <w:rPr>
          <w:rFonts w:ascii="Century Gothic" w:hAnsi="Century Gothic"/>
        </w:rPr>
        <w:t>we</w:t>
      </w:r>
      <w:r w:rsidRPr="00D11A11">
        <w:rPr>
          <w:rFonts w:ascii="Century Gothic" w:hAnsi="Century Gothic"/>
        </w:rPr>
        <w:t xml:space="preserve"> incorporate the target</w:t>
      </w:r>
      <w:r w:rsidR="00D62766" w:rsidRPr="00D11A11">
        <w:rPr>
          <w:rFonts w:ascii="Century Gothic" w:hAnsi="Century Gothic"/>
        </w:rPr>
        <w:t xml:space="preserve">s from </w:t>
      </w:r>
      <w:r w:rsidR="00A5501C" w:rsidRPr="00D11A11">
        <w:rPr>
          <w:rFonts w:ascii="Century Gothic" w:hAnsi="Century Gothic"/>
        </w:rPr>
        <w:t>our</w:t>
      </w:r>
      <w:r w:rsidR="00D62766" w:rsidRPr="00D11A11">
        <w:rPr>
          <w:rFonts w:ascii="Century Gothic" w:hAnsi="Century Gothic"/>
        </w:rPr>
        <w:t xml:space="preserve"> deconstruction into our</w:t>
      </w:r>
      <w:r w:rsidRPr="00D11A11">
        <w:rPr>
          <w:rFonts w:ascii="Century Gothic" w:hAnsi="Century Gothic"/>
        </w:rPr>
        <w:t xml:space="preserve"> assessment?</w:t>
      </w:r>
    </w:p>
    <w:p w:rsidR="007C6F32" w:rsidRPr="00D11A11" w:rsidRDefault="00D62766" w:rsidP="001A3D20">
      <w:pPr>
        <w:pStyle w:val="ListParagraph"/>
        <w:numPr>
          <w:ilvl w:val="1"/>
          <w:numId w:val="1"/>
        </w:numPr>
        <w:rPr>
          <w:rFonts w:ascii="Century Gothic" w:hAnsi="Century Gothic"/>
          <w:sz w:val="18"/>
          <w:szCs w:val="18"/>
        </w:rPr>
      </w:pPr>
      <w:r w:rsidRPr="00D11A11">
        <w:rPr>
          <w:rFonts w:ascii="Century Gothic" w:hAnsi="Century Gothic"/>
          <w:sz w:val="18"/>
          <w:szCs w:val="18"/>
        </w:rPr>
        <w:t>Do our</w:t>
      </w:r>
      <w:r w:rsidR="007C6F32" w:rsidRPr="00D11A11">
        <w:rPr>
          <w:rFonts w:ascii="Century Gothic" w:hAnsi="Century Gothic"/>
          <w:sz w:val="18"/>
          <w:szCs w:val="18"/>
        </w:rPr>
        <w:t xml:space="preserve"> assessment questions align to</w:t>
      </w:r>
      <w:r w:rsidRPr="00D11A11">
        <w:rPr>
          <w:rFonts w:ascii="Century Gothic" w:hAnsi="Century Gothic"/>
          <w:sz w:val="18"/>
          <w:szCs w:val="18"/>
        </w:rPr>
        <w:t xml:space="preserve"> the most rigorous targets in our</w:t>
      </w:r>
      <w:r w:rsidR="007C6F32" w:rsidRPr="00D11A11">
        <w:rPr>
          <w:rFonts w:ascii="Century Gothic" w:hAnsi="Century Gothic"/>
          <w:sz w:val="18"/>
          <w:szCs w:val="18"/>
        </w:rPr>
        <w:t xml:space="preserve"> deconstruction overall?</w:t>
      </w:r>
    </w:p>
    <w:p w:rsidR="00B30105" w:rsidRPr="00D11A11" w:rsidRDefault="00B30105" w:rsidP="00B30105">
      <w:pPr>
        <w:pStyle w:val="ListParagraph"/>
        <w:ind w:left="1440"/>
        <w:rPr>
          <w:rFonts w:ascii="Century Gothic" w:hAnsi="Century Gothic"/>
        </w:rPr>
      </w:pPr>
    </w:p>
    <w:p w:rsidR="007C6F32" w:rsidRPr="00D11A11" w:rsidRDefault="00D62766" w:rsidP="007C6F32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11A11">
        <w:rPr>
          <w:rFonts w:ascii="Century Gothic" w:hAnsi="Century Gothic"/>
        </w:rPr>
        <w:t>Does our</w:t>
      </w:r>
      <w:r w:rsidR="008F2E8A" w:rsidRPr="00D11A11">
        <w:rPr>
          <w:rFonts w:ascii="Century Gothic" w:hAnsi="Century Gothic"/>
        </w:rPr>
        <w:t xml:space="preserve"> assessment </w:t>
      </w:r>
      <w:r w:rsidR="0063410E" w:rsidRPr="00D11A11">
        <w:rPr>
          <w:rFonts w:ascii="Century Gothic" w:hAnsi="Century Gothic"/>
        </w:rPr>
        <w:t>align to the</w:t>
      </w:r>
      <w:r w:rsidR="0063410E" w:rsidRPr="00D11A11">
        <w:rPr>
          <w:rFonts w:ascii="Century Gothic" w:hAnsi="Century Gothic"/>
          <w:b/>
          <w:u w:val="single"/>
        </w:rPr>
        <w:t xml:space="preserve"> Item Specifications </w:t>
      </w:r>
      <w:r w:rsidR="0063410E" w:rsidRPr="00D11A11">
        <w:rPr>
          <w:rFonts w:ascii="Century Gothic" w:hAnsi="Century Gothic"/>
        </w:rPr>
        <w:t>from Arizona Department of education</w:t>
      </w:r>
      <w:r w:rsidR="008F2E8A" w:rsidRPr="00D11A11">
        <w:rPr>
          <w:rFonts w:ascii="Century Gothic" w:hAnsi="Century Gothic"/>
        </w:rPr>
        <w:t>:</w:t>
      </w:r>
    </w:p>
    <w:tbl>
      <w:tblPr>
        <w:tblStyle w:val="TableGrid"/>
        <w:tblW w:w="9180" w:type="dxa"/>
        <w:tblInd w:w="738" w:type="dxa"/>
        <w:tblLook w:val="04A0" w:firstRow="1" w:lastRow="0" w:firstColumn="1" w:lastColumn="0" w:noHBand="0" w:noVBand="1"/>
      </w:tblPr>
      <w:tblGrid>
        <w:gridCol w:w="2340"/>
        <w:gridCol w:w="2250"/>
        <w:gridCol w:w="2278"/>
        <w:gridCol w:w="2312"/>
      </w:tblGrid>
      <w:tr w:rsidR="00D62D6C" w:rsidRPr="002061FE" w:rsidTr="00D62D6C">
        <w:tc>
          <w:tcPr>
            <w:tcW w:w="2340" w:type="dxa"/>
          </w:tcPr>
          <w:p w:rsidR="00845E05" w:rsidRPr="00D11A11" w:rsidRDefault="0063410E" w:rsidP="00B30105">
            <w:pPr>
              <w:pStyle w:val="ListParagraph"/>
              <w:ind w:left="0"/>
              <w:rPr>
                <w:rFonts w:ascii="Century Gothic" w:hAnsi="Century Gothic"/>
              </w:rPr>
            </w:pPr>
            <w:r w:rsidRPr="00D11A11">
              <w:rPr>
                <w:rFonts w:ascii="Century Gothic" w:hAnsi="Century Gothic"/>
              </w:rPr>
              <w:t>Content Limits</w:t>
            </w:r>
          </w:p>
        </w:tc>
        <w:tc>
          <w:tcPr>
            <w:tcW w:w="2250" w:type="dxa"/>
          </w:tcPr>
          <w:p w:rsidR="00845E05" w:rsidRPr="00D11A11" w:rsidRDefault="0063410E" w:rsidP="00B30105">
            <w:pPr>
              <w:pStyle w:val="ListParagraph"/>
              <w:ind w:left="0"/>
              <w:rPr>
                <w:rFonts w:ascii="Century Gothic" w:hAnsi="Century Gothic"/>
              </w:rPr>
            </w:pPr>
            <w:r w:rsidRPr="00D11A11">
              <w:rPr>
                <w:rFonts w:ascii="Century Gothic" w:hAnsi="Century Gothic"/>
              </w:rPr>
              <w:t>Common Item Formats</w:t>
            </w:r>
          </w:p>
        </w:tc>
        <w:tc>
          <w:tcPr>
            <w:tcW w:w="2278" w:type="dxa"/>
          </w:tcPr>
          <w:p w:rsidR="00845E05" w:rsidRPr="00D11A11" w:rsidRDefault="0063410E" w:rsidP="00B30105">
            <w:pPr>
              <w:pStyle w:val="ListParagraph"/>
              <w:ind w:left="0"/>
              <w:rPr>
                <w:rFonts w:ascii="Century Gothic" w:hAnsi="Century Gothic"/>
              </w:rPr>
            </w:pPr>
            <w:r w:rsidRPr="00D11A11">
              <w:rPr>
                <w:rFonts w:ascii="Century Gothic" w:hAnsi="Century Gothic"/>
              </w:rPr>
              <w:t>Task Demands</w:t>
            </w:r>
          </w:p>
        </w:tc>
        <w:tc>
          <w:tcPr>
            <w:tcW w:w="2312" w:type="dxa"/>
          </w:tcPr>
          <w:p w:rsidR="00845E05" w:rsidRPr="00D11A11" w:rsidRDefault="0063410E" w:rsidP="00B30105">
            <w:pPr>
              <w:pStyle w:val="ListParagraph"/>
              <w:ind w:left="0"/>
              <w:rPr>
                <w:rFonts w:ascii="Century Gothic" w:hAnsi="Century Gothic"/>
              </w:rPr>
            </w:pPr>
            <w:r w:rsidRPr="00D11A11">
              <w:rPr>
                <w:rFonts w:ascii="Century Gothic" w:hAnsi="Century Gothic"/>
              </w:rPr>
              <w:t>Common Response Types</w:t>
            </w:r>
          </w:p>
        </w:tc>
      </w:tr>
      <w:tr w:rsidR="00D62D6C" w:rsidRPr="002061FE" w:rsidTr="00D62D6C">
        <w:tc>
          <w:tcPr>
            <w:tcW w:w="2340" w:type="dxa"/>
          </w:tcPr>
          <w:p w:rsidR="00845E05" w:rsidRPr="00D11A11" w:rsidRDefault="00845E05" w:rsidP="00CB7D1A">
            <w:pPr>
              <w:pStyle w:val="ListParagraph"/>
              <w:ind w:left="0"/>
              <w:rPr>
                <w:rFonts w:ascii="Century Gothic" w:hAnsi="Century Gothic"/>
              </w:rPr>
            </w:pPr>
            <w:r w:rsidRPr="00D11A11">
              <w:rPr>
                <w:rFonts w:ascii="Century Gothic" w:hAnsi="Century Gothic"/>
              </w:rPr>
              <w:t>-</w:t>
            </w:r>
            <w:r w:rsidR="00CB7D1A" w:rsidRPr="00D11A11">
              <w:rPr>
                <w:rFonts w:ascii="Century Gothic" w:hAnsi="Century Gothic"/>
              </w:rPr>
              <w:t>Describes what content is tested</w:t>
            </w:r>
          </w:p>
        </w:tc>
        <w:tc>
          <w:tcPr>
            <w:tcW w:w="2250" w:type="dxa"/>
          </w:tcPr>
          <w:p w:rsidR="00845E05" w:rsidRPr="00D11A11" w:rsidRDefault="00114732" w:rsidP="00B30105">
            <w:pPr>
              <w:pStyle w:val="ListParagraph"/>
              <w:ind w:left="0"/>
              <w:rPr>
                <w:rFonts w:ascii="Century Gothic" w:hAnsi="Century Gothic"/>
              </w:rPr>
            </w:pPr>
            <w:r w:rsidRPr="00D11A11">
              <w:t xml:space="preserve">The </w:t>
            </w:r>
            <w:proofErr w:type="spellStart"/>
            <w:r w:rsidRPr="00D11A11">
              <w:t>AzMERIT</w:t>
            </w:r>
            <w:proofErr w:type="spellEnd"/>
            <w:r w:rsidRPr="00D11A11">
              <w:t xml:space="preserve"> Assessments are composed of item formats that include traditional multiple-choice response items and </w:t>
            </w:r>
            <w:r w:rsidRPr="00D11A11">
              <w:rPr>
                <w:b/>
              </w:rPr>
              <w:t>technology-enhanced response items</w:t>
            </w:r>
            <w:r w:rsidRPr="00D11A11">
              <w:t xml:space="preserve"> (TEI) Each grade and standard can be assessed in varied TEI’s</w:t>
            </w:r>
            <w:r w:rsidR="00CB7D1A" w:rsidRPr="00D11A11">
              <w:t>. See second page</w:t>
            </w:r>
          </w:p>
        </w:tc>
        <w:tc>
          <w:tcPr>
            <w:tcW w:w="2278" w:type="dxa"/>
          </w:tcPr>
          <w:p w:rsidR="00CB7D1A" w:rsidRPr="00D11A11" w:rsidRDefault="00EF6945" w:rsidP="00CB7D1A">
            <w:pPr>
              <w:pStyle w:val="ListParagraph"/>
              <w:ind w:left="0"/>
              <w:rPr>
                <w:rFonts w:ascii="Century Gothic" w:hAnsi="Century Gothic"/>
              </w:rPr>
            </w:pPr>
            <w:r w:rsidRPr="00D11A11">
              <w:rPr>
                <w:rFonts w:ascii="Century Gothic" w:hAnsi="Century Gothic"/>
              </w:rPr>
              <w:t>-</w:t>
            </w:r>
            <w:r w:rsidR="00CB7D1A" w:rsidRPr="00D11A11">
              <w:rPr>
                <w:rFonts w:ascii="Century Gothic" w:hAnsi="Century Gothic"/>
              </w:rPr>
              <w:t>Describes the tasks that students will be asked to complete.</w:t>
            </w:r>
          </w:p>
          <w:p w:rsidR="00EF6945" w:rsidRPr="00D11A11" w:rsidRDefault="00EF6945" w:rsidP="00EF6945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2312" w:type="dxa"/>
          </w:tcPr>
          <w:p w:rsidR="00EF6945" w:rsidRPr="00D11A11" w:rsidRDefault="00CB7D1A" w:rsidP="00B30105">
            <w:pPr>
              <w:pStyle w:val="ListParagraph"/>
              <w:ind w:left="0"/>
              <w:rPr>
                <w:rFonts w:ascii="Century Gothic" w:hAnsi="Century Gothic"/>
                <w:i/>
              </w:rPr>
            </w:pPr>
            <w:r w:rsidRPr="00D11A11">
              <w:rPr>
                <w:rFonts w:ascii="Century Gothic" w:hAnsi="Century Gothic"/>
                <w:i/>
              </w:rPr>
              <w:t>-Describes the most used te</w:t>
            </w:r>
            <w:r w:rsidR="00681D94" w:rsidRPr="00D11A11">
              <w:rPr>
                <w:rFonts w:ascii="Century Gothic" w:hAnsi="Century Gothic"/>
                <w:i/>
              </w:rPr>
              <w:t>st types that aligns to</w:t>
            </w:r>
            <w:r w:rsidRPr="00D11A11">
              <w:rPr>
                <w:rFonts w:ascii="Century Gothic" w:hAnsi="Century Gothic"/>
                <w:i/>
              </w:rPr>
              <w:t xml:space="preserve"> the standard.</w:t>
            </w:r>
          </w:p>
        </w:tc>
      </w:tr>
    </w:tbl>
    <w:p w:rsidR="00B30105" w:rsidRPr="002061FE" w:rsidRDefault="00B30105" w:rsidP="00B30105">
      <w:pPr>
        <w:pStyle w:val="ListParagraph"/>
        <w:ind w:left="1440"/>
        <w:rPr>
          <w:rFonts w:ascii="Century Gothic" w:hAnsi="Century Gothic"/>
          <w:sz w:val="24"/>
          <w:szCs w:val="26"/>
        </w:rPr>
      </w:pPr>
    </w:p>
    <w:p w:rsidR="00681D94" w:rsidRPr="00D11A11" w:rsidRDefault="00681D94" w:rsidP="004F3AD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11A11">
        <w:rPr>
          <w:rFonts w:ascii="Century Gothic" w:hAnsi="Century Gothic"/>
        </w:rPr>
        <w:t>Have we looked at test items from various sources, for alignment?</w:t>
      </w:r>
    </w:p>
    <w:p w:rsidR="00681D94" w:rsidRPr="00D11A11" w:rsidRDefault="00681D94" w:rsidP="00681D94">
      <w:pPr>
        <w:pStyle w:val="ListParagraph"/>
        <w:numPr>
          <w:ilvl w:val="1"/>
          <w:numId w:val="1"/>
        </w:numPr>
        <w:rPr>
          <w:rFonts w:ascii="Century Gothic" w:hAnsi="Century Gothic"/>
          <w:sz w:val="18"/>
          <w:szCs w:val="18"/>
        </w:rPr>
      </w:pPr>
      <w:r w:rsidRPr="00D11A11">
        <w:rPr>
          <w:rFonts w:ascii="Century Gothic" w:hAnsi="Century Gothic"/>
          <w:sz w:val="18"/>
          <w:szCs w:val="18"/>
        </w:rPr>
        <w:t>Illuminate</w:t>
      </w:r>
    </w:p>
    <w:p w:rsidR="00681D94" w:rsidRPr="00D11A11" w:rsidRDefault="00681D94" w:rsidP="00681D94">
      <w:pPr>
        <w:pStyle w:val="ListParagraph"/>
        <w:numPr>
          <w:ilvl w:val="1"/>
          <w:numId w:val="1"/>
        </w:numPr>
        <w:rPr>
          <w:rFonts w:ascii="Century Gothic" w:hAnsi="Century Gothic"/>
          <w:sz w:val="18"/>
          <w:szCs w:val="18"/>
        </w:rPr>
      </w:pPr>
      <w:r w:rsidRPr="00D11A11">
        <w:rPr>
          <w:rFonts w:ascii="Century Gothic" w:hAnsi="Century Gothic"/>
          <w:sz w:val="18"/>
          <w:szCs w:val="18"/>
        </w:rPr>
        <w:t>PARCC</w:t>
      </w:r>
    </w:p>
    <w:p w:rsidR="00681D94" w:rsidRPr="00D11A11" w:rsidRDefault="00681D94" w:rsidP="00681D94">
      <w:pPr>
        <w:pStyle w:val="ListParagraph"/>
        <w:numPr>
          <w:ilvl w:val="1"/>
          <w:numId w:val="1"/>
        </w:numPr>
        <w:rPr>
          <w:rFonts w:ascii="Century Gothic" w:hAnsi="Century Gothic"/>
          <w:sz w:val="18"/>
          <w:szCs w:val="18"/>
        </w:rPr>
      </w:pPr>
      <w:r w:rsidRPr="00D11A11">
        <w:rPr>
          <w:rFonts w:ascii="Century Gothic" w:hAnsi="Century Gothic"/>
          <w:sz w:val="18"/>
          <w:szCs w:val="18"/>
        </w:rPr>
        <w:t>Smarter Balance</w:t>
      </w:r>
    </w:p>
    <w:p w:rsidR="00681D94" w:rsidRPr="00D11A11" w:rsidRDefault="00681D94" w:rsidP="00681D94">
      <w:pPr>
        <w:pStyle w:val="ListParagraph"/>
        <w:numPr>
          <w:ilvl w:val="1"/>
          <w:numId w:val="1"/>
        </w:numPr>
        <w:rPr>
          <w:rFonts w:ascii="Century Gothic" w:hAnsi="Century Gothic"/>
          <w:sz w:val="18"/>
          <w:szCs w:val="18"/>
        </w:rPr>
      </w:pPr>
      <w:r w:rsidRPr="00D11A11">
        <w:rPr>
          <w:rFonts w:ascii="Century Gothic" w:hAnsi="Century Gothic"/>
          <w:sz w:val="18"/>
          <w:szCs w:val="18"/>
        </w:rPr>
        <w:t>AZMERIT</w:t>
      </w:r>
    </w:p>
    <w:p w:rsidR="00681D94" w:rsidRPr="00D11A11" w:rsidRDefault="00681D94" w:rsidP="00681D94">
      <w:pPr>
        <w:pStyle w:val="ListParagraph"/>
        <w:ind w:left="1440"/>
        <w:rPr>
          <w:rFonts w:ascii="Century Gothic" w:hAnsi="Century Gothic"/>
        </w:rPr>
      </w:pPr>
    </w:p>
    <w:p w:rsidR="00681D94" w:rsidRDefault="00681D94" w:rsidP="004F3AD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11A11">
        <w:rPr>
          <w:rFonts w:ascii="Century Gothic" w:hAnsi="Century Gothic"/>
        </w:rPr>
        <w:t>Have we analyzed the DOK levels of each question?</w:t>
      </w:r>
      <w:r w:rsidR="00C53936">
        <w:rPr>
          <w:rFonts w:ascii="Century Gothic" w:hAnsi="Century Gothic"/>
        </w:rPr>
        <w:t xml:space="preserve"> Use the reference </w:t>
      </w:r>
      <w:proofErr w:type="gramStart"/>
      <w:r w:rsidR="00C53936">
        <w:rPr>
          <w:rFonts w:ascii="Century Gothic" w:hAnsi="Century Gothic"/>
        </w:rPr>
        <w:t>page(</w:t>
      </w:r>
      <w:proofErr w:type="gramEnd"/>
      <w:r w:rsidR="00C53936">
        <w:rPr>
          <w:rFonts w:ascii="Century Gothic" w:hAnsi="Century Gothic"/>
        </w:rPr>
        <w:t>5) from the item specification document that indicates percent of points by DOK. Is this aligned to the percentage on your test?</w:t>
      </w:r>
    </w:p>
    <w:p w:rsidR="00C53936" w:rsidRPr="00D11A11" w:rsidRDefault="00C53936" w:rsidP="00C53936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 xml:space="preserve">Sample: </w:t>
      </w:r>
      <w:r>
        <w:rPr>
          <w:rFonts w:ascii="Century Gothic" w:hAnsi="Century Gothic"/>
          <w:noProof/>
        </w:rPr>
        <w:drawing>
          <wp:inline distT="0" distB="0" distL="0" distR="0" wp14:anchorId="7D593AE8" wp14:editId="6335DFFF">
            <wp:extent cx="3543300" cy="3668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th grad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292" cy="392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3ADC" w:rsidRPr="00D11A11" w:rsidRDefault="004F3ADC" w:rsidP="004F3AD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11A11">
        <w:rPr>
          <w:rFonts w:ascii="Century Gothic" w:hAnsi="Century Gothic"/>
        </w:rPr>
        <w:t>What does mastery look like on each assessment item</w:t>
      </w:r>
      <w:r w:rsidR="003539CA" w:rsidRPr="00D11A11">
        <w:rPr>
          <w:rFonts w:ascii="Century Gothic" w:hAnsi="Century Gothic"/>
        </w:rPr>
        <w:t xml:space="preserve"> (create an answer key and show work)</w:t>
      </w:r>
      <w:r w:rsidRPr="00D11A11">
        <w:rPr>
          <w:rFonts w:ascii="Century Gothic" w:hAnsi="Century Gothic"/>
        </w:rPr>
        <w:t>?</w:t>
      </w:r>
    </w:p>
    <w:p w:rsidR="00F06E39" w:rsidRPr="00D11A11" w:rsidRDefault="00F06E39" w:rsidP="00F06E39">
      <w:pPr>
        <w:pStyle w:val="ListParagraph"/>
        <w:numPr>
          <w:ilvl w:val="1"/>
          <w:numId w:val="1"/>
        </w:numPr>
        <w:rPr>
          <w:rFonts w:ascii="Century Gothic" w:hAnsi="Century Gothic"/>
          <w:sz w:val="18"/>
          <w:szCs w:val="18"/>
        </w:rPr>
      </w:pPr>
      <w:r w:rsidRPr="00D11A11">
        <w:rPr>
          <w:rFonts w:ascii="Century Gothic" w:hAnsi="Century Gothic"/>
          <w:sz w:val="18"/>
          <w:szCs w:val="18"/>
        </w:rPr>
        <w:t xml:space="preserve">Does the mastery match the rigor </w:t>
      </w:r>
      <w:r w:rsidR="00D62766" w:rsidRPr="00D11A11">
        <w:rPr>
          <w:rFonts w:ascii="Century Gothic" w:hAnsi="Century Gothic"/>
          <w:sz w:val="18"/>
          <w:szCs w:val="18"/>
        </w:rPr>
        <w:t xml:space="preserve">of the deconstruction targets we </w:t>
      </w:r>
      <w:r w:rsidRPr="00D11A11">
        <w:rPr>
          <w:rFonts w:ascii="Century Gothic" w:hAnsi="Century Gothic"/>
          <w:sz w:val="18"/>
          <w:szCs w:val="18"/>
        </w:rPr>
        <w:t>created?</w:t>
      </w:r>
    </w:p>
    <w:p w:rsidR="002061FE" w:rsidRPr="00D11A11" w:rsidRDefault="002061FE" w:rsidP="00F06E39">
      <w:pPr>
        <w:pStyle w:val="ListParagraph"/>
        <w:numPr>
          <w:ilvl w:val="1"/>
          <w:numId w:val="1"/>
        </w:numPr>
        <w:rPr>
          <w:rFonts w:ascii="Century Gothic" w:hAnsi="Century Gothic"/>
          <w:sz w:val="18"/>
          <w:szCs w:val="18"/>
        </w:rPr>
      </w:pPr>
      <w:r w:rsidRPr="00D11A11">
        <w:rPr>
          <w:rFonts w:ascii="Century Gothic" w:hAnsi="Century Gothic"/>
          <w:sz w:val="18"/>
          <w:szCs w:val="18"/>
        </w:rPr>
        <w:t>Do we have specific point values and/or rubrics with sample answers to what we expect the constructed responses to look like?</w:t>
      </w:r>
    </w:p>
    <w:p w:rsidR="00B30105" w:rsidRPr="00D11A11" w:rsidRDefault="00B30105" w:rsidP="00B30105">
      <w:pPr>
        <w:pStyle w:val="ListParagraph"/>
        <w:ind w:left="1440"/>
        <w:rPr>
          <w:rFonts w:ascii="Century Gothic" w:hAnsi="Century Gothic"/>
        </w:rPr>
      </w:pPr>
    </w:p>
    <w:p w:rsidR="004F3ADC" w:rsidRPr="00D11A11" w:rsidRDefault="00704B52" w:rsidP="004F3ADC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D11A11">
        <w:rPr>
          <w:rFonts w:ascii="Century Gothic" w:hAnsi="Century Gothic"/>
        </w:rPr>
        <w:t>How will our</w:t>
      </w:r>
      <w:r w:rsidR="00D11A11" w:rsidRPr="00D11A11">
        <w:rPr>
          <w:rFonts w:ascii="Century Gothic" w:hAnsi="Century Gothic"/>
        </w:rPr>
        <w:t xml:space="preserve"> students earn</w:t>
      </w:r>
      <w:r w:rsidR="004F3ADC" w:rsidRPr="00D11A11">
        <w:rPr>
          <w:rFonts w:ascii="Century Gothic" w:hAnsi="Century Gothic"/>
        </w:rPr>
        <w:t xml:space="preserve"> </w:t>
      </w:r>
      <w:r w:rsidR="008B7476" w:rsidRPr="00D11A11">
        <w:rPr>
          <w:rFonts w:ascii="Century Gothic" w:hAnsi="Century Gothic"/>
        </w:rPr>
        <w:t>“</w:t>
      </w:r>
      <w:r w:rsidR="00681D94" w:rsidRPr="00D11A11">
        <w:rPr>
          <w:rFonts w:ascii="Century Gothic" w:hAnsi="Century Gothic"/>
        </w:rPr>
        <w:t>highly proficient</w:t>
      </w:r>
      <w:r w:rsidR="008B7476" w:rsidRPr="00D11A11">
        <w:rPr>
          <w:rFonts w:ascii="Century Gothic" w:hAnsi="Century Gothic"/>
        </w:rPr>
        <w:t>”</w:t>
      </w:r>
      <w:r w:rsidR="004F3ADC" w:rsidRPr="00D11A11">
        <w:rPr>
          <w:rFonts w:ascii="Century Gothic" w:hAnsi="Century Gothic"/>
        </w:rPr>
        <w:t xml:space="preserve"> on the assessment</w:t>
      </w:r>
      <w:r w:rsidR="003244E2" w:rsidRPr="00D11A11">
        <w:rPr>
          <w:rFonts w:ascii="Century Gothic" w:hAnsi="Century Gothic"/>
        </w:rPr>
        <w:t>*</w:t>
      </w:r>
      <w:r w:rsidR="004F3ADC" w:rsidRPr="00D11A11">
        <w:rPr>
          <w:rFonts w:ascii="Century Gothic" w:hAnsi="Century Gothic"/>
        </w:rPr>
        <w:t>?</w:t>
      </w:r>
    </w:p>
    <w:p w:rsidR="00E40F87" w:rsidRPr="00D11A11" w:rsidRDefault="00D62D6C" w:rsidP="00F06E39">
      <w:pPr>
        <w:pStyle w:val="ListParagraph"/>
        <w:numPr>
          <w:ilvl w:val="1"/>
          <w:numId w:val="3"/>
        </w:numPr>
        <w:rPr>
          <w:rFonts w:ascii="Century Gothic" w:hAnsi="Century Gothic"/>
          <w:sz w:val="18"/>
          <w:szCs w:val="18"/>
        </w:rPr>
      </w:pPr>
      <w:r w:rsidRPr="00D11A11">
        <w:rPr>
          <w:rFonts w:ascii="Century Gothic" w:hAnsi="Century Gothic"/>
          <w:sz w:val="18"/>
          <w:szCs w:val="18"/>
        </w:rPr>
        <w:lastRenderedPageBreak/>
        <w:t xml:space="preserve">Demonstrates mastery, with excellence, of the grade-level standards with </w:t>
      </w:r>
      <w:r w:rsidRPr="00D11A11">
        <w:rPr>
          <w:rFonts w:ascii="Century Gothic" w:hAnsi="Century Gothic"/>
          <w:i/>
          <w:iCs/>
          <w:sz w:val="18"/>
          <w:szCs w:val="18"/>
        </w:rPr>
        <w:t>relative ease and consistency;</w:t>
      </w:r>
      <w:r w:rsidRPr="00D11A11">
        <w:rPr>
          <w:rFonts w:ascii="Century Gothic" w:hAnsi="Century Gothic"/>
          <w:sz w:val="18"/>
          <w:szCs w:val="18"/>
        </w:rPr>
        <w:t xml:space="preserve"> </w:t>
      </w:r>
      <w:r w:rsidRPr="00D11A11">
        <w:rPr>
          <w:rFonts w:ascii="Century Gothic" w:hAnsi="Century Gothic"/>
          <w:bCs/>
          <w:sz w:val="18"/>
          <w:szCs w:val="18"/>
        </w:rPr>
        <w:t>OR</w:t>
      </w:r>
    </w:p>
    <w:p w:rsidR="00F06E39" w:rsidRPr="00D11A11" w:rsidRDefault="00D62D6C" w:rsidP="00F06E39">
      <w:pPr>
        <w:pStyle w:val="ListParagraph"/>
        <w:numPr>
          <w:ilvl w:val="1"/>
          <w:numId w:val="3"/>
        </w:numPr>
        <w:rPr>
          <w:rFonts w:ascii="Century Gothic" w:hAnsi="Century Gothic"/>
          <w:sz w:val="18"/>
          <w:szCs w:val="18"/>
        </w:rPr>
      </w:pPr>
      <w:r w:rsidRPr="00D11A11">
        <w:rPr>
          <w:rFonts w:ascii="Century Gothic" w:hAnsi="Century Gothic"/>
          <w:i/>
          <w:iCs/>
          <w:sz w:val="18"/>
          <w:szCs w:val="18"/>
        </w:rPr>
        <w:t xml:space="preserve">Applies and extends </w:t>
      </w:r>
      <w:r w:rsidRPr="00D11A11">
        <w:rPr>
          <w:rFonts w:ascii="Century Gothic" w:hAnsi="Century Gothic"/>
          <w:sz w:val="18"/>
          <w:szCs w:val="18"/>
        </w:rPr>
        <w:t xml:space="preserve">the key concepts, process and skills; </w:t>
      </w:r>
      <w:r w:rsidRPr="00D11A11">
        <w:rPr>
          <w:rFonts w:ascii="Century Gothic" w:hAnsi="Century Gothic"/>
          <w:bCs/>
          <w:sz w:val="18"/>
          <w:szCs w:val="18"/>
        </w:rPr>
        <w:t>OR</w:t>
      </w:r>
    </w:p>
    <w:p w:rsidR="007C6F32" w:rsidRPr="00D11A11" w:rsidRDefault="00D62D6C" w:rsidP="00F06E39">
      <w:pPr>
        <w:pStyle w:val="ListParagraph"/>
        <w:numPr>
          <w:ilvl w:val="1"/>
          <w:numId w:val="3"/>
        </w:numPr>
        <w:rPr>
          <w:rFonts w:ascii="Century Gothic" w:hAnsi="Century Gothic"/>
          <w:sz w:val="18"/>
          <w:szCs w:val="18"/>
        </w:rPr>
      </w:pPr>
      <w:r w:rsidRPr="00D11A11">
        <w:rPr>
          <w:rFonts w:ascii="Century Gothic" w:hAnsi="Century Gothic"/>
          <w:sz w:val="18"/>
          <w:szCs w:val="18"/>
        </w:rPr>
        <w:t xml:space="preserve">Is working at grade level </w:t>
      </w:r>
      <w:r w:rsidRPr="00D11A11">
        <w:rPr>
          <w:rFonts w:ascii="Century Gothic" w:hAnsi="Century Gothic"/>
          <w:i/>
          <w:iCs/>
          <w:sz w:val="18"/>
          <w:szCs w:val="18"/>
        </w:rPr>
        <w:t>bu</w:t>
      </w:r>
      <w:r w:rsidR="00F06E39" w:rsidRPr="00D11A11">
        <w:rPr>
          <w:rFonts w:ascii="Century Gothic" w:hAnsi="Century Gothic"/>
          <w:i/>
          <w:iCs/>
          <w:sz w:val="18"/>
          <w:szCs w:val="18"/>
        </w:rPr>
        <w:t>t at a higher level of thinking.</w:t>
      </w:r>
    </w:p>
    <w:p w:rsidR="00700645" w:rsidRPr="00D11A11" w:rsidRDefault="00700645" w:rsidP="00D11A11">
      <w:pPr>
        <w:rPr>
          <w:rFonts w:ascii="Century Gothic" w:hAnsi="Century Gothic"/>
          <w:i/>
          <w:iCs/>
        </w:rPr>
      </w:pPr>
    </w:p>
    <w:p w:rsidR="00700645" w:rsidRPr="00D11A11" w:rsidRDefault="00D11A11" w:rsidP="003244E2">
      <w:pPr>
        <w:pStyle w:val="ListParagraph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  <w:noProof/>
          <w:sz w:val="24"/>
          <w:szCs w:val="26"/>
        </w:rPr>
        <w:drawing>
          <wp:inline distT="0" distB="0" distL="0" distR="0" wp14:anchorId="4E5E29D9" wp14:editId="0D784313">
            <wp:extent cx="4774675" cy="272605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i 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9562" cy="2740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i/>
          <w:iCs/>
          <w:noProof/>
          <w:sz w:val="24"/>
          <w:szCs w:val="26"/>
        </w:rPr>
        <w:drawing>
          <wp:inline distT="0" distB="0" distL="0" distR="0" wp14:anchorId="0E9593C7" wp14:editId="1B52E594">
            <wp:extent cx="4900935" cy="3805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i 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1915" cy="3814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645" w:rsidRPr="00D11A11" w:rsidRDefault="00700645" w:rsidP="003244E2">
      <w:pPr>
        <w:pStyle w:val="ListParagraph"/>
        <w:rPr>
          <w:rFonts w:ascii="Century Gothic" w:hAnsi="Century Gothic"/>
          <w:i/>
          <w:iCs/>
        </w:rPr>
      </w:pPr>
    </w:p>
    <w:p w:rsidR="00700645" w:rsidRDefault="00700645" w:rsidP="003244E2">
      <w:pPr>
        <w:pStyle w:val="ListParagraph"/>
        <w:rPr>
          <w:rFonts w:ascii="Century Gothic" w:hAnsi="Century Gothic"/>
          <w:i/>
          <w:iCs/>
          <w:sz w:val="24"/>
          <w:szCs w:val="26"/>
        </w:rPr>
      </w:pPr>
    </w:p>
    <w:p w:rsidR="0063410E" w:rsidRDefault="0063410E" w:rsidP="003244E2">
      <w:pPr>
        <w:pStyle w:val="ListParagraph"/>
        <w:rPr>
          <w:rFonts w:ascii="Century Gothic" w:hAnsi="Century Gothic"/>
          <w:i/>
          <w:iCs/>
          <w:sz w:val="24"/>
          <w:szCs w:val="26"/>
        </w:rPr>
      </w:pPr>
    </w:p>
    <w:p w:rsidR="0063410E" w:rsidRDefault="0063410E" w:rsidP="003244E2">
      <w:pPr>
        <w:pStyle w:val="ListParagraph"/>
        <w:rPr>
          <w:rFonts w:ascii="Century Gothic" w:hAnsi="Century Gothic"/>
          <w:i/>
          <w:iCs/>
          <w:sz w:val="24"/>
          <w:szCs w:val="26"/>
        </w:rPr>
      </w:pPr>
    </w:p>
    <w:p w:rsidR="0063410E" w:rsidRPr="002061FE" w:rsidRDefault="0063410E" w:rsidP="003244E2">
      <w:pPr>
        <w:pStyle w:val="ListParagraph"/>
        <w:rPr>
          <w:rFonts w:ascii="Century Gothic" w:hAnsi="Century Gothic"/>
          <w:sz w:val="24"/>
          <w:szCs w:val="26"/>
        </w:rPr>
      </w:pPr>
    </w:p>
    <w:sectPr w:rsidR="0063410E" w:rsidRPr="002061FE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595" w:rsidRDefault="00C11595" w:rsidP="007C6F32">
      <w:pPr>
        <w:spacing w:after="0" w:line="240" w:lineRule="auto"/>
      </w:pPr>
      <w:r>
        <w:separator/>
      </w:r>
    </w:p>
  </w:endnote>
  <w:endnote w:type="continuationSeparator" w:id="0">
    <w:p w:rsidR="00C11595" w:rsidRDefault="00C11595" w:rsidP="007C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595" w:rsidRDefault="00C11595" w:rsidP="007C6F32">
      <w:pPr>
        <w:spacing w:after="0" w:line="240" w:lineRule="auto"/>
      </w:pPr>
      <w:r>
        <w:separator/>
      </w:r>
    </w:p>
  </w:footnote>
  <w:footnote w:type="continuationSeparator" w:id="0">
    <w:p w:rsidR="00C11595" w:rsidRDefault="00C11595" w:rsidP="007C6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F32" w:rsidRDefault="007C6F32" w:rsidP="007C6F32">
    <w:pPr>
      <w:pStyle w:val="Header"/>
      <w:jc w:val="center"/>
    </w:pPr>
    <w:r>
      <w:t>Creating a Common Formative Assessment (CFA)</w:t>
    </w:r>
  </w:p>
  <w:p w:rsidR="007C6F32" w:rsidRDefault="007C6F32" w:rsidP="007C6F3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4622"/>
    <w:multiLevelType w:val="hybridMultilevel"/>
    <w:tmpl w:val="8FC288B2"/>
    <w:lvl w:ilvl="0" w:tplc="8066540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DEA5F6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168E6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3C3360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AA6FA6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0F69DD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F4A19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789F18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E0823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594614D"/>
    <w:multiLevelType w:val="hybridMultilevel"/>
    <w:tmpl w:val="30CA0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4760F"/>
    <w:multiLevelType w:val="hybridMultilevel"/>
    <w:tmpl w:val="1ACC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32"/>
    <w:rsid w:val="00015E60"/>
    <w:rsid w:val="00114732"/>
    <w:rsid w:val="001A3D20"/>
    <w:rsid w:val="002061FE"/>
    <w:rsid w:val="002809E0"/>
    <w:rsid w:val="003244E2"/>
    <w:rsid w:val="003539CA"/>
    <w:rsid w:val="004F3ADC"/>
    <w:rsid w:val="00573C9F"/>
    <w:rsid w:val="005A6686"/>
    <w:rsid w:val="005C5D4A"/>
    <w:rsid w:val="0063410E"/>
    <w:rsid w:val="00681D94"/>
    <w:rsid w:val="00700645"/>
    <w:rsid w:val="00704B52"/>
    <w:rsid w:val="007C6F32"/>
    <w:rsid w:val="00845E05"/>
    <w:rsid w:val="008B7476"/>
    <w:rsid w:val="008F2E8A"/>
    <w:rsid w:val="00A14D1E"/>
    <w:rsid w:val="00A5501C"/>
    <w:rsid w:val="00AD2C4C"/>
    <w:rsid w:val="00B30105"/>
    <w:rsid w:val="00BD5819"/>
    <w:rsid w:val="00C11595"/>
    <w:rsid w:val="00C53936"/>
    <w:rsid w:val="00CB7D1A"/>
    <w:rsid w:val="00D11A11"/>
    <w:rsid w:val="00D62766"/>
    <w:rsid w:val="00D62D6C"/>
    <w:rsid w:val="00DE21EB"/>
    <w:rsid w:val="00E40F87"/>
    <w:rsid w:val="00ED2E7F"/>
    <w:rsid w:val="00EF6945"/>
    <w:rsid w:val="00F06E39"/>
    <w:rsid w:val="00F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4AA80-767F-4647-9984-6411856F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32"/>
  </w:style>
  <w:style w:type="paragraph" w:styleId="Footer">
    <w:name w:val="footer"/>
    <w:basedOn w:val="Normal"/>
    <w:link w:val="FooterChar"/>
    <w:uiPriority w:val="99"/>
    <w:unhideWhenUsed/>
    <w:rsid w:val="007C6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32"/>
  </w:style>
  <w:style w:type="paragraph" w:styleId="ListParagraph">
    <w:name w:val="List Paragraph"/>
    <w:basedOn w:val="Normal"/>
    <w:uiPriority w:val="34"/>
    <w:qFormat/>
    <w:rsid w:val="007C6F32"/>
    <w:pPr>
      <w:ind w:left="720"/>
      <w:contextualSpacing/>
    </w:pPr>
  </w:style>
  <w:style w:type="table" w:styleId="TableGrid">
    <w:name w:val="Table Grid"/>
    <w:basedOn w:val="TableNormal"/>
    <w:uiPriority w:val="59"/>
    <w:rsid w:val="0084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75464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20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81819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E97E365C1CA48AEB28C229BDF45C0" ma:contentTypeVersion="0" ma:contentTypeDescription="Create a new document." ma:contentTypeScope="" ma:versionID="ac7d6058b8da03d98c6e35908ae0b49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12791-8FF4-4BA8-9821-803E7469A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4882529-8ED7-48F1-B461-274967B71D24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A275157-1CEE-42DA-B483-360FA57C45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Glendale Elementary School Dist #40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Tarrah Bernabe</dc:creator>
  <cp:lastModifiedBy>Alfredo G. Barrantes SantaMaria</cp:lastModifiedBy>
  <cp:revision>2</cp:revision>
  <cp:lastPrinted>2015-01-09T18:41:00Z</cp:lastPrinted>
  <dcterms:created xsi:type="dcterms:W3CDTF">2018-12-18T15:20:00Z</dcterms:created>
  <dcterms:modified xsi:type="dcterms:W3CDTF">2018-12-18T15:20:00Z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0x010100F3AE97E365C1CA48AEB28C229BDF45C0</vt:lpwstr>
  </property>
</Properties>
</file>