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layfair Display SC" w:cs="Playfair Display SC" w:eastAsia="Playfair Display SC" w:hAnsi="Playfair Display SC"/>
          <w:b w:val="1"/>
          <w:sz w:val="48"/>
          <w:szCs w:val="48"/>
        </w:rPr>
      </w:pPr>
      <w:r w:rsidDel="00000000" w:rsidR="00000000" w:rsidRPr="00000000">
        <w:rPr>
          <w:rFonts w:ascii="Playfair Display SC" w:cs="Playfair Display SC" w:eastAsia="Playfair Display SC" w:hAnsi="Playfair Display SC"/>
          <w:b w:val="1"/>
          <w:sz w:val="48"/>
          <w:szCs w:val="48"/>
          <w:rtl w:val="0"/>
        </w:rPr>
        <w:t xml:space="preserve">GLADYS POLK ELEMENTARY</w:t>
      </w:r>
    </w:p>
    <w:tbl>
      <w:tblPr>
        <w:tblStyle w:val="Table1"/>
        <w:tblW w:w="936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36"/>
                <w:szCs w:val="36"/>
                <w:u w:val="single"/>
                <w:rtl w:val="0"/>
              </w:rPr>
              <w:t xml:space="preserve">Our Mission </w:t>
            </w:r>
          </w:p>
          <w:p w:rsidR="00000000" w:rsidDel="00000000" w:rsidP="00000000" w:rsidRDefault="00000000" w:rsidRPr="00000000">
            <w:pPr>
              <w:shd w:fill="ffffff" w:val="clear"/>
              <w:spacing w:line="331.2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8"/>
                <w:szCs w:val="2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The mission of Polk Elementary is to ensure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rtl w:val="0"/>
              </w:rPr>
              <w:t xml:space="preserve">all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 students learn at</w:t>
            </w:r>
          </w:p>
          <w:p w:rsidR="00000000" w:rsidDel="00000000" w:rsidP="00000000" w:rsidRDefault="00000000" w:rsidRPr="00000000">
            <w:pPr>
              <w:shd w:fill="ffffff" w:val="clear"/>
              <w:spacing w:line="331.2" w:lineRule="auto"/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rtl w:val="0"/>
              </w:rPr>
              <w:t xml:space="preserve">high levels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 and are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rtl w:val="0"/>
              </w:rPr>
              <w:t xml:space="preserve">future ready.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sz w:val="36"/>
                <w:szCs w:val="36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36"/>
                <w:szCs w:val="36"/>
                <w:u w:val="single"/>
                <w:rtl w:val="0"/>
              </w:rPr>
              <w:t xml:space="preserve">Our 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highlight w:val="white"/>
                <w:rtl w:val="0"/>
              </w:rPr>
              <w:t xml:space="preserve">A culture of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collaboration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highlight w:val="white"/>
                <w:rtl w:val="0"/>
              </w:rPr>
              <w:t xml:space="preserve"> focusing on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color w:val="0000ff"/>
                <w:sz w:val="28"/>
                <w:szCs w:val="28"/>
                <w:highlight w:val="white"/>
                <w:rtl w:val="0"/>
              </w:rPr>
              <w:t xml:space="preserve">results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36"/>
                <w:szCs w:val="3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36"/>
                <w:szCs w:val="36"/>
                <w:u w:val="single"/>
                <w:rtl w:val="0"/>
              </w:rPr>
              <w:t xml:space="preserve">Our Beliefs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Our primary purpose as educators is to build relationships with students and parents in a non-judgemental environment, fostering a love of learning and ensuring student success.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Our classrooms should be an inviting, student centered, engaging learning environment.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Great instruction consists of: engaging lessons focused on student centered learning with clear and measurable learning targets, ongoing assessment to check understanding and mastery, and differentiated instruction to meet the needs of all students.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We will use a variety of formative and summative assessment to collect data and ensure student learning.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When students struggle, we intervene by working collaboratively with all involved in a student’s life to determine a plan to ensure student success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To prevent students from failing, we build relationships,  provide a positive and engaging environment, and identify weaknesses early in order to close gaps.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sz w:val="28"/>
                <w:szCs w:val="28"/>
                <w:rtl w:val="0"/>
              </w:rPr>
              <w:t xml:space="preserve">We extend and enrich learning using projects, technology, higher level questioning, and extracurricular activities.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udson" w:cs="Judson" w:eastAsia="Judson" w:hAnsi="Juds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udson" w:cs="Judson" w:eastAsia="Judson" w:hAnsi="Judson"/>
                <w:b w:val="1"/>
                <w:sz w:val="28"/>
                <w:szCs w:val="28"/>
                <w:rtl w:val="0"/>
              </w:rPr>
              <w:t xml:space="preserve">In order to be the school we want to be, we must ALL be 100% committed to student success.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Playfair Display SC" w:cs="Playfair Display SC" w:eastAsia="Playfair Display SC" w:hAnsi="Playfair Display SC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60"/>
                <w:szCs w:val="60"/>
                <w:u w:val="single"/>
                <w:rtl w:val="0"/>
              </w:rPr>
              <w:t xml:space="preserve">Three Big Ideas of our PLC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Kotta One" w:cs="Kotta One" w:eastAsia="Kotta One" w:hAnsi="Kotta One"/>
                <w:sz w:val="48"/>
                <w:szCs w:val="48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A Focus on Learning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Kotta One" w:cs="Kotta One" w:eastAsia="Kotta One" w:hAnsi="Kotta One"/>
                <w:sz w:val="48"/>
                <w:szCs w:val="48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A Collaborative Culture and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Kotta One" w:cs="Kotta One" w:eastAsia="Kotta One" w:hAnsi="Kotta One"/>
                <w:sz w:val="48"/>
                <w:szCs w:val="48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Collective Responsibility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A Results Orientation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60"/>
                <w:szCs w:val="60"/>
                <w:u w:val="single"/>
                <w:rtl w:val="0"/>
              </w:rPr>
              <w:t xml:space="preserve">Our Four Essential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sz w:val="60"/>
                <w:szCs w:val="60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60"/>
                <w:szCs w:val="60"/>
                <w:u w:val="single"/>
                <w:rtl w:val="0"/>
              </w:rPr>
              <w:t xml:space="preserve">PLC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Kotta One" w:cs="Kotta One" w:eastAsia="Kotta One" w:hAnsi="Kotta One"/>
                <w:sz w:val="48"/>
                <w:szCs w:val="48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What are students learning?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Kotta One" w:cs="Kotta One" w:eastAsia="Kotta One" w:hAnsi="Kotta One"/>
                <w:sz w:val="48"/>
                <w:szCs w:val="48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How do we know they are learning it?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Kotta One" w:cs="Kotta One" w:eastAsia="Kotta One" w:hAnsi="Kotta One"/>
                <w:sz w:val="48"/>
                <w:szCs w:val="48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What do we do when they don’t learn it?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Kotta One" w:cs="Kotta One" w:eastAsia="Kotta One" w:hAnsi="Kotta One"/>
                <w:sz w:val="48"/>
                <w:szCs w:val="48"/>
                <w:rtl w:val="0"/>
              </w:rPr>
              <w:t xml:space="preserve">What do we do when they already know it?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Playfair Display SC" w:cs="Playfair Display SC" w:eastAsia="Playfair Display SC" w:hAnsi="Playfair Display SC"/>
          <w:b w:val="1"/>
          <w:color w:val="0000f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Playfair Display SC" w:cs="Playfair Display SC" w:eastAsia="Playfair Display SC" w:hAnsi="Playfair Display SC"/>
          <w:b w:val="1"/>
          <w:color w:val="0000ff"/>
          <w:sz w:val="96"/>
          <w:szCs w:val="96"/>
        </w:rPr>
      </w:pPr>
      <w:r w:rsidDel="00000000" w:rsidR="00000000" w:rsidRPr="00000000">
        <w:rPr>
          <w:rFonts w:ascii="Playfair Display SC" w:cs="Playfair Display SC" w:eastAsia="Playfair Display SC" w:hAnsi="Playfair Display SC"/>
          <w:b w:val="1"/>
          <w:color w:val="0000ff"/>
          <w:sz w:val="96"/>
          <w:szCs w:val="96"/>
          <w:rtl w:val="0"/>
        </w:rPr>
        <w:t xml:space="preserve">ALL MEANS ALL.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otta One">
    <w:embedRegular w:fontKey="{00000000-0000-0000-0000-000000000000}" r:id="rId5" w:subsetted="0"/>
  </w:font>
  <w:font w:name="Playfair Display S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Judson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Judson-bold.ttf"/><Relationship Id="rId10" Type="http://schemas.openxmlformats.org/officeDocument/2006/relationships/font" Target="fonts/Judson-regular.ttf"/><Relationship Id="rId12" Type="http://schemas.openxmlformats.org/officeDocument/2006/relationships/font" Target="fonts/Judson-italic.ttf"/><Relationship Id="rId9" Type="http://schemas.openxmlformats.org/officeDocument/2006/relationships/font" Target="fonts/PlayfairDisplaySC-boldItalic.ttf"/><Relationship Id="rId5" Type="http://schemas.openxmlformats.org/officeDocument/2006/relationships/font" Target="fonts/KottaOne-regular.ttf"/><Relationship Id="rId6" Type="http://schemas.openxmlformats.org/officeDocument/2006/relationships/font" Target="fonts/PlayfairDisplaySC-regular.ttf"/><Relationship Id="rId7" Type="http://schemas.openxmlformats.org/officeDocument/2006/relationships/font" Target="fonts/PlayfairDisplaySC-bold.ttf"/><Relationship Id="rId8" Type="http://schemas.openxmlformats.org/officeDocument/2006/relationships/font" Target="fonts/PlayfairDisplaySC-italic.ttf"/></Relationships>
</file>