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Playfair Display SC" w:cs="Playfair Display SC" w:eastAsia="Playfair Display SC" w:hAnsi="Playfair Display SC"/>
          <w:b w:val="1"/>
          <w:sz w:val="48"/>
          <w:szCs w:val="4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b w:val="1"/>
          <w:sz w:val="48"/>
          <w:szCs w:val="48"/>
          <w:rtl w:val="0"/>
        </w:rPr>
        <w:t xml:space="preserve">GLADYS POLK ELEMENTARY</w:t>
      </w:r>
    </w:p>
    <w:tbl>
      <w:tblPr>
        <w:tblStyle w:val="Table1"/>
        <w:tblW w:w="9360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36"/>
                <w:szCs w:val="36"/>
                <w:u w:val="single"/>
                <w:rtl w:val="0"/>
              </w:rPr>
              <w:t xml:space="preserve">Our Mission </w:t>
            </w:r>
          </w:p>
          <w:p w:rsidR="00000000" w:rsidDel="00000000" w:rsidP="00000000" w:rsidRDefault="00000000" w:rsidRPr="00000000" w14:paraId="00000002">
            <w:pPr>
              <w:shd w:fill="ffffff" w:val="clear"/>
              <w:spacing w:line="331.2" w:lineRule="auto"/>
              <w:contextualSpacing w:val="0"/>
              <w:jc w:val="center"/>
              <w:rPr>
                <w:rFonts w:ascii="Playfair Display" w:cs="Playfair Display" w:eastAsia="Playfair Display" w:hAnsi="Playfair Display"/>
                <w:sz w:val="28"/>
                <w:szCs w:val="28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rtl w:val="0"/>
              </w:rPr>
              <w:t xml:space="preserve">The mission of Polk Elementary is to ensure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color w:val="ff0000"/>
                <w:sz w:val="28"/>
                <w:szCs w:val="28"/>
                <w:rtl w:val="0"/>
              </w:rPr>
              <w:t xml:space="preserve">all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rtl w:val="0"/>
              </w:rPr>
              <w:t xml:space="preserve"> students learn at</w:t>
            </w:r>
          </w:p>
          <w:p w:rsidR="00000000" w:rsidDel="00000000" w:rsidP="00000000" w:rsidRDefault="00000000" w:rsidRPr="00000000" w14:paraId="00000003">
            <w:pPr>
              <w:shd w:fill="ffffff" w:val="clear"/>
              <w:spacing w:line="331.2" w:lineRule="auto"/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color w:val="ff0000"/>
                <w:sz w:val="28"/>
                <w:szCs w:val="28"/>
                <w:rtl w:val="0"/>
              </w:rPr>
              <w:t xml:space="preserve">high levels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rtl w:val="0"/>
              </w:rPr>
              <w:t xml:space="preserve"> and are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color w:val="ff0000"/>
                <w:sz w:val="28"/>
                <w:szCs w:val="28"/>
                <w:rtl w:val="0"/>
              </w:rPr>
              <w:t xml:space="preserve">future ready.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sz w:val="36"/>
                <w:szCs w:val="36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36"/>
                <w:szCs w:val="36"/>
                <w:u w:val="single"/>
                <w:rtl w:val="0"/>
              </w:rPr>
              <w:t xml:space="preserve">Our Vision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u w:val="single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highlight w:val="white"/>
                <w:rtl w:val="0"/>
              </w:rPr>
              <w:t xml:space="preserve">A culture of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color w:val="0000ff"/>
                <w:sz w:val="28"/>
                <w:szCs w:val="28"/>
                <w:highlight w:val="white"/>
                <w:rtl w:val="0"/>
              </w:rPr>
              <w:t xml:space="preserve">collaboration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highlight w:val="white"/>
                <w:rtl w:val="0"/>
              </w:rPr>
              <w:t xml:space="preserve"> focusing on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color w:val="0000ff"/>
                <w:sz w:val="28"/>
                <w:szCs w:val="28"/>
                <w:highlight w:val="white"/>
                <w:rtl w:val="0"/>
              </w:rPr>
              <w:t xml:space="preserve">results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8"/>
                <w:szCs w:val="28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36"/>
                <w:szCs w:val="3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36"/>
                <w:szCs w:val="36"/>
                <w:u w:val="single"/>
                <w:rtl w:val="0"/>
              </w:rPr>
              <w:t xml:space="preserve">Our Beliefs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Our primary purpose as educators is to build relationships with students and parents in a non-judgemental environment, fostering a love of learning and ensuring student success. 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Our classrooms should be an inviting, student centered, engaging learning environment.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Great instruction consists of: engaging lessons focused on student centered learning with clear and measurable learning targets, ongoing assessment to check understanding and mastery, and differentiated instruction to meet the needs of all students. 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We will use a variety of formative and summative assessment to collect data and ensure student learning.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When students struggle, we intervene by working collaboratively with all involved in a student’s life to determine a plan to ensure student success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To prevent students from failing, we build relationships,  provide a positive and engaging environment, and identify weaknesses early in order to close gaps.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sz w:val="28"/>
                <w:szCs w:val="28"/>
                <w:rtl w:val="0"/>
              </w:rPr>
              <w:t xml:space="preserve">We extend and enrich learning using projects, technology, higher level questioning, and extracurricular activities.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Judson" w:cs="Judson" w:eastAsia="Judson" w:hAnsi="Judso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Judson" w:cs="Judson" w:eastAsia="Judson" w:hAnsi="Judson"/>
                <w:b w:val="1"/>
                <w:sz w:val="28"/>
                <w:szCs w:val="28"/>
                <w:rtl w:val="0"/>
              </w:rPr>
              <w:t xml:space="preserve">In order to be the school we want to be, we must ALL be 100% committed to student success.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contextualSpacing w:val="0"/>
        <w:jc w:val="left"/>
        <w:rPr>
          <w:rFonts w:ascii="Playfair Display SC" w:cs="Playfair Display SC" w:eastAsia="Playfair Display SC" w:hAnsi="Playfair Display SC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60"/>
                <w:szCs w:val="60"/>
                <w:u w:val="singl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60"/>
                <w:szCs w:val="60"/>
                <w:u w:val="single"/>
                <w:rtl w:val="0"/>
              </w:rPr>
              <w:t xml:space="preserve">Three Big Ideas of our PLC</w:t>
            </w:r>
          </w:p>
          <w:p w:rsidR="00000000" w:rsidDel="00000000" w:rsidP="00000000" w:rsidRDefault="00000000" w:rsidRPr="00000000" w14:paraId="00000011">
            <w:pPr>
              <w:contextualSpacing w:val="0"/>
              <w:jc w:val="center"/>
              <w:rPr>
                <w:rFonts w:ascii="Kotta One" w:cs="Kotta One" w:eastAsia="Kotta One" w:hAnsi="Kotta One"/>
                <w:sz w:val="48"/>
                <w:szCs w:val="48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A Focus on Learning</w:t>
            </w:r>
          </w:p>
          <w:p w:rsidR="00000000" w:rsidDel="00000000" w:rsidP="00000000" w:rsidRDefault="00000000" w:rsidRPr="00000000" w14:paraId="00000012">
            <w:pPr>
              <w:contextualSpacing w:val="0"/>
              <w:jc w:val="center"/>
              <w:rPr>
                <w:rFonts w:ascii="Kotta One" w:cs="Kotta One" w:eastAsia="Kotta One" w:hAnsi="Kotta One"/>
                <w:sz w:val="48"/>
                <w:szCs w:val="48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A Collaborative Culture and </w:t>
            </w:r>
          </w:p>
          <w:p w:rsidR="00000000" w:rsidDel="00000000" w:rsidP="00000000" w:rsidRDefault="00000000" w:rsidRPr="00000000" w14:paraId="00000013">
            <w:pPr>
              <w:contextualSpacing w:val="0"/>
              <w:jc w:val="center"/>
              <w:rPr>
                <w:rFonts w:ascii="Kotta One" w:cs="Kotta One" w:eastAsia="Kotta One" w:hAnsi="Kotta One"/>
                <w:sz w:val="48"/>
                <w:szCs w:val="48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Collective Responsibility</w:t>
            </w:r>
          </w:p>
          <w:p w:rsidR="00000000" w:rsidDel="00000000" w:rsidP="00000000" w:rsidRDefault="00000000" w:rsidRPr="00000000" w14:paraId="00000014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u w:val="single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A Results Orientation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60"/>
                <w:szCs w:val="60"/>
                <w:u w:val="singl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60"/>
                <w:szCs w:val="60"/>
                <w:u w:val="single"/>
                <w:rtl w:val="0"/>
              </w:rPr>
              <w:t xml:space="preserve">Our Four Essential </w:t>
            </w:r>
          </w:p>
          <w:p w:rsidR="00000000" w:rsidDel="00000000" w:rsidP="00000000" w:rsidRDefault="00000000" w:rsidRPr="00000000" w14:paraId="00000016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sz w:val="60"/>
                <w:szCs w:val="60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60"/>
                <w:szCs w:val="60"/>
                <w:u w:val="single"/>
                <w:rtl w:val="0"/>
              </w:rPr>
              <w:t xml:space="preserve">PLC 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contextualSpacing w:val="0"/>
              <w:jc w:val="center"/>
              <w:rPr>
                <w:rFonts w:ascii="Kotta One" w:cs="Kotta One" w:eastAsia="Kotta One" w:hAnsi="Kotta One"/>
                <w:sz w:val="48"/>
                <w:szCs w:val="48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What are students learning? </w:t>
            </w:r>
          </w:p>
          <w:p w:rsidR="00000000" w:rsidDel="00000000" w:rsidP="00000000" w:rsidRDefault="00000000" w:rsidRPr="00000000" w14:paraId="00000018">
            <w:pPr>
              <w:contextualSpacing w:val="0"/>
              <w:jc w:val="center"/>
              <w:rPr>
                <w:rFonts w:ascii="Kotta One" w:cs="Kotta One" w:eastAsia="Kotta One" w:hAnsi="Kotta One"/>
                <w:sz w:val="48"/>
                <w:szCs w:val="48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How do we know they are learning it? </w:t>
            </w:r>
          </w:p>
          <w:p w:rsidR="00000000" w:rsidDel="00000000" w:rsidP="00000000" w:rsidRDefault="00000000" w:rsidRPr="00000000" w14:paraId="00000019">
            <w:pPr>
              <w:contextualSpacing w:val="0"/>
              <w:jc w:val="center"/>
              <w:rPr>
                <w:rFonts w:ascii="Kotta One" w:cs="Kotta One" w:eastAsia="Kotta One" w:hAnsi="Kotta One"/>
                <w:sz w:val="48"/>
                <w:szCs w:val="48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What do we do when they don’t learn it? </w:t>
            </w:r>
          </w:p>
          <w:p w:rsidR="00000000" w:rsidDel="00000000" w:rsidP="00000000" w:rsidRDefault="00000000" w:rsidRPr="00000000" w14:paraId="0000001A">
            <w:pPr>
              <w:contextualSpacing w:val="0"/>
              <w:jc w:val="center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u w:val="single"/>
              </w:rPr>
            </w:pPr>
            <w:r w:rsidDel="00000000" w:rsidR="00000000" w:rsidRPr="00000000">
              <w:rPr>
                <w:rFonts w:ascii="Kotta One" w:cs="Kotta One" w:eastAsia="Kotta One" w:hAnsi="Kotta One"/>
                <w:sz w:val="48"/>
                <w:szCs w:val="48"/>
                <w:rtl w:val="0"/>
              </w:rPr>
              <w:t xml:space="preserve">What do we do when they already know it?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contextualSpacing w:val="0"/>
        <w:jc w:val="center"/>
        <w:rPr>
          <w:rFonts w:ascii="Playfair Display SC" w:cs="Playfair Display SC" w:eastAsia="Playfair Display SC" w:hAnsi="Playfair Display SC"/>
          <w:b w:val="1"/>
          <w:color w:val="0000ff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jc w:val="center"/>
        <w:rPr>
          <w:rFonts w:ascii="Playfair Display SC" w:cs="Playfair Display SC" w:eastAsia="Playfair Display SC" w:hAnsi="Playfair Display SC"/>
          <w:b w:val="1"/>
          <w:color w:val="0000ff"/>
          <w:sz w:val="96"/>
          <w:szCs w:val="96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b w:val="1"/>
          <w:color w:val="0000ff"/>
          <w:sz w:val="96"/>
          <w:szCs w:val="96"/>
          <w:rtl w:val="0"/>
        </w:rPr>
        <w:t xml:space="preserve">ALL MEANS ALL.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60"/>
          <w:szCs w:val="60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otta One">
    <w:embedRegular w:fontKey="{00000000-0000-0000-0000-000000000000}" r:id="rId5" w:subsetted="0"/>
  </w:font>
  <w:font w:name="Playfair Display S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Judson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1" Type="http://schemas.openxmlformats.org/officeDocument/2006/relationships/font" Target="fonts/Judson-bold.ttf"/><Relationship Id="rId10" Type="http://schemas.openxmlformats.org/officeDocument/2006/relationships/font" Target="fonts/Judson-regular.ttf"/><Relationship Id="rId12" Type="http://schemas.openxmlformats.org/officeDocument/2006/relationships/font" Target="fonts/Judson-italic.ttf"/><Relationship Id="rId9" Type="http://schemas.openxmlformats.org/officeDocument/2006/relationships/font" Target="fonts/PlayfairDisplaySC-boldItalic.ttf"/><Relationship Id="rId5" Type="http://schemas.openxmlformats.org/officeDocument/2006/relationships/font" Target="fonts/KottaOne-regular.ttf"/><Relationship Id="rId6" Type="http://schemas.openxmlformats.org/officeDocument/2006/relationships/font" Target="fonts/PlayfairDisplaySC-regular.ttf"/><Relationship Id="rId7" Type="http://schemas.openxmlformats.org/officeDocument/2006/relationships/font" Target="fonts/PlayfairDisplaySC-bold.ttf"/><Relationship Id="rId8" Type="http://schemas.openxmlformats.org/officeDocument/2006/relationships/font" Target="fonts/PlayfairDisplayS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