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F33" w:rsidRDefault="00F71C16" w:rsidP="00F71C16">
      <w:pPr>
        <w:jc w:val="center"/>
        <w:rPr>
          <w:sz w:val="36"/>
          <w:szCs w:val="36"/>
          <w:u w:val="single"/>
        </w:rPr>
      </w:pPr>
      <w:r w:rsidRPr="00F71C16">
        <w:rPr>
          <w:sz w:val="36"/>
          <w:szCs w:val="36"/>
          <w:u w:val="single"/>
        </w:rPr>
        <w:t>PLC Learning Community Evidence of Effectiveness</w:t>
      </w:r>
    </w:p>
    <w:p w:rsidR="0036452F" w:rsidRDefault="0036452F" w:rsidP="00F71C16">
      <w:pPr>
        <w:jc w:val="center"/>
        <w:rPr>
          <w:sz w:val="36"/>
          <w:szCs w:val="36"/>
          <w:u w:val="single"/>
        </w:rPr>
      </w:pPr>
    </w:p>
    <w:p w:rsidR="0036452F" w:rsidRDefault="0036452F" w:rsidP="0036452F">
      <w:pPr>
        <w:rPr>
          <w:sz w:val="32"/>
          <w:szCs w:val="32"/>
          <w:u w:val="single"/>
        </w:rPr>
      </w:pPr>
      <w:r>
        <w:rPr>
          <w:sz w:val="32"/>
          <w:szCs w:val="32"/>
          <w:u w:val="single"/>
        </w:rPr>
        <w:t>School Information</w:t>
      </w:r>
    </w:p>
    <w:p w:rsidR="0036452F" w:rsidRDefault="0036452F" w:rsidP="0036452F">
      <w:pPr>
        <w:rPr>
          <w:sz w:val="28"/>
          <w:szCs w:val="28"/>
        </w:rPr>
      </w:pPr>
      <w:r>
        <w:rPr>
          <w:sz w:val="28"/>
          <w:szCs w:val="28"/>
        </w:rPr>
        <w:t>School N</w:t>
      </w:r>
      <w:r w:rsidR="00DA09F9">
        <w:rPr>
          <w:sz w:val="28"/>
          <w:szCs w:val="28"/>
        </w:rPr>
        <w:t>ame: Canyon Elementary school (K</w:t>
      </w:r>
      <w:r>
        <w:rPr>
          <w:sz w:val="28"/>
          <w:szCs w:val="28"/>
        </w:rPr>
        <w:t>-6)</w:t>
      </w:r>
    </w:p>
    <w:p w:rsidR="0036452F" w:rsidRDefault="0036452F" w:rsidP="0036452F">
      <w:pPr>
        <w:rPr>
          <w:sz w:val="28"/>
          <w:szCs w:val="28"/>
        </w:rPr>
      </w:pPr>
      <w:r>
        <w:rPr>
          <w:sz w:val="28"/>
          <w:szCs w:val="28"/>
        </w:rPr>
        <w:t>District Name: Lincoln Country School District #1</w:t>
      </w:r>
    </w:p>
    <w:p w:rsidR="0036452F" w:rsidRDefault="0036452F" w:rsidP="0036452F">
      <w:pPr>
        <w:rPr>
          <w:sz w:val="28"/>
          <w:szCs w:val="28"/>
        </w:rPr>
      </w:pPr>
      <w:r>
        <w:rPr>
          <w:sz w:val="28"/>
          <w:szCs w:val="28"/>
        </w:rPr>
        <w:t>School Address: 1310 Antelope Drive, Kemmerer, WY 83101</w:t>
      </w:r>
    </w:p>
    <w:p w:rsidR="0036452F" w:rsidRDefault="0036452F" w:rsidP="0036452F">
      <w:pPr>
        <w:rPr>
          <w:sz w:val="28"/>
          <w:szCs w:val="28"/>
        </w:rPr>
      </w:pPr>
      <w:r>
        <w:rPr>
          <w:sz w:val="28"/>
          <w:szCs w:val="28"/>
        </w:rPr>
        <w:t>Principal: Brad Meyer</w:t>
      </w:r>
    </w:p>
    <w:p w:rsidR="0036452F" w:rsidRDefault="0036452F" w:rsidP="0036452F">
      <w:pPr>
        <w:rPr>
          <w:sz w:val="28"/>
          <w:szCs w:val="28"/>
        </w:rPr>
      </w:pPr>
      <w:r>
        <w:rPr>
          <w:sz w:val="28"/>
          <w:szCs w:val="28"/>
        </w:rPr>
        <w:t xml:space="preserve">Principal Email: </w:t>
      </w:r>
      <w:hyperlink r:id="rId5" w:history="1">
        <w:r w:rsidRPr="008208B1">
          <w:rPr>
            <w:rStyle w:val="Hyperlink"/>
            <w:sz w:val="28"/>
            <w:szCs w:val="28"/>
          </w:rPr>
          <w:t>bmeyer@rangers1.net</w:t>
        </w:r>
      </w:hyperlink>
    </w:p>
    <w:p w:rsidR="0036452F" w:rsidRDefault="0036452F" w:rsidP="0036452F">
      <w:pPr>
        <w:rPr>
          <w:sz w:val="28"/>
          <w:szCs w:val="28"/>
        </w:rPr>
      </w:pPr>
      <w:r>
        <w:rPr>
          <w:sz w:val="28"/>
          <w:szCs w:val="28"/>
        </w:rPr>
        <w:t xml:space="preserve">Web Address: rangers1.net </w:t>
      </w:r>
    </w:p>
    <w:p w:rsidR="0036452F" w:rsidRDefault="0036452F" w:rsidP="0036452F">
      <w:pPr>
        <w:rPr>
          <w:sz w:val="28"/>
          <w:szCs w:val="28"/>
        </w:rPr>
      </w:pPr>
    </w:p>
    <w:p w:rsidR="0036452F" w:rsidRDefault="0036452F" w:rsidP="0036452F">
      <w:pPr>
        <w:rPr>
          <w:sz w:val="28"/>
          <w:szCs w:val="28"/>
        </w:rPr>
      </w:pPr>
      <w:r w:rsidRPr="0036452F">
        <w:rPr>
          <w:sz w:val="28"/>
          <w:szCs w:val="28"/>
          <w:u w:val="single"/>
        </w:rPr>
        <w:t>Demographics</w:t>
      </w:r>
    </w:p>
    <w:p w:rsidR="003868CC" w:rsidRDefault="00BE5DE1" w:rsidP="0036452F">
      <w:pPr>
        <w:rPr>
          <w:sz w:val="28"/>
          <w:szCs w:val="28"/>
        </w:rPr>
      </w:pPr>
      <w:r>
        <w:rPr>
          <w:sz w:val="28"/>
          <w:szCs w:val="28"/>
        </w:rPr>
        <w:t>Number of Students: 340</w:t>
      </w:r>
    </w:p>
    <w:p w:rsidR="003868CC" w:rsidRDefault="003868CC" w:rsidP="0036452F">
      <w:pPr>
        <w:rPr>
          <w:sz w:val="28"/>
          <w:szCs w:val="28"/>
        </w:rPr>
      </w:pPr>
      <w:r>
        <w:rPr>
          <w:sz w:val="28"/>
          <w:szCs w:val="28"/>
        </w:rPr>
        <w:t xml:space="preserve">Percent Eligible for Free and reduced lunch: </w:t>
      </w:r>
      <w:r w:rsidR="00BE5DE1">
        <w:rPr>
          <w:sz w:val="28"/>
          <w:szCs w:val="28"/>
        </w:rPr>
        <w:t>17%</w:t>
      </w:r>
    </w:p>
    <w:p w:rsidR="003868CC" w:rsidRDefault="003868CC" w:rsidP="0036452F">
      <w:pPr>
        <w:rPr>
          <w:sz w:val="28"/>
          <w:szCs w:val="28"/>
        </w:rPr>
      </w:pPr>
      <w:r>
        <w:rPr>
          <w:sz w:val="28"/>
          <w:szCs w:val="28"/>
        </w:rPr>
        <w:t xml:space="preserve">Percent of Limited English Proficient: </w:t>
      </w:r>
      <w:r w:rsidR="00BE5DE1">
        <w:rPr>
          <w:sz w:val="28"/>
          <w:szCs w:val="28"/>
        </w:rPr>
        <w:t>.5%</w:t>
      </w:r>
    </w:p>
    <w:p w:rsidR="003868CC" w:rsidRDefault="003868CC" w:rsidP="0036452F">
      <w:pPr>
        <w:rPr>
          <w:sz w:val="28"/>
          <w:szCs w:val="28"/>
        </w:rPr>
      </w:pPr>
      <w:r>
        <w:rPr>
          <w:sz w:val="28"/>
          <w:szCs w:val="28"/>
        </w:rPr>
        <w:t xml:space="preserve">Percent of Special Education: </w:t>
      </w:r>
      <w:r w:rsidR="00426B10">
        <w:rPr>
          <w:sz w:val="28"/>
          <w:szCs w:val="28"/>
        </w:rPr>
        <w:t>23.2%</w:t>
      </w:r>
    </w:p>
    <w:p w:rsidR="003868CC" w:rsidRDefault="003868CC" w:rsidP="0036452F">
      <w:pPr>
        <w:rPr>
          <w:sz w:val="28"/>
          <w:szCs w:val="28"/>
        </w:rPr>
      </w:pPr>
      <w:r>
        <w:rPr>
          <w:sz w:val="28"/>
          <w:szCs w:val="28"/>
        </w:rPr>
        <w:t xml:space="preserve">Racial/Ethnic Percentages: </w:t>
      </w:r>
    </w:p>
    <w:p w:rsidR="003868CC" w:rsidRDefault="003868CC" w:rsidP="003868CC">
      <w:pPr>
        <w:pStyle w:val="ListParagraph"/>
        <w:numPr>
          <w:ilvl w:val="0"/>
          <w:numId w:val="1"/>
        </w:numPr>
        <w:rPr>
          <w:sz w:val="28"/>
          <w:szCs w:val="28"/>
        </w:rPr>
      </w:pPr>
      <w:r>
        <w:rPr>
          <w:sz w:val="28"/>
          <w:szCs w:val="28"/>
        </w:rPr>
        <w:t>White</w:t>
      </w:r>
      <w:r w:rsidR="0027203C">
        <w:rPr>
          <w:sz w:val="28"/>
          <w:szCs w:val="28"/>
        </w:rPr>
        <w:t>- 90%</w:t>
      </w:r>
    </w:p>
    <w:p w:rsidR="003868CC" w:rsidRDefault="003868CC" w:rsidP="003868CC">
      <w:pPr>
        <w:pStyle w:val="ListParagraph"/>
        <w:numPr>
          <w:ilvl w:val="0"/>
          <w:numId w:val="1"/>
        </w:numPr>
        <w:rPr>
          <w:sz w:val="28"/>
          <w:szCs w:val="28"/>
        </w:rPr>
      </w:pPr>
      <w:r>
        <w:rPr>
          <w:sz w:val="28"/>
          <w:szCs w:val="28"/>
        </w:rPr>
        <w:t>Black</w:t>
      </w:r>
      <w:r w:rsidR="0027203C">
        <w:rPr>
          <w:sz w:val="28"/>
          <w:szCs w:val="28"/>
        </w:rPr>
        <w:t>- NA</w:t>
      </w:r>
    </w:p>
    <w:p w:rsidR="003868CC" w:rsidRDefault="003868CC" w:rsidP="003868CC">
      <w:pPr>
        <w:pStyle w:val="ListParagraph"/>
        <w:numPr>
          <w:ilvl w:val="0"/>
          <w:numId w:val="1"/>
        </w:numPr>
        <w:rPr>
          <w:sz w:val="28"/>
          <w:szCs w:val="28"/>
        </w:rPr>
      </w:pPr>
      <w:r>
        <w:rPr>
          <w:sz w:val="28"/>
          <w:szCs w:val="28"/>
        </w:rPr>
        <w:t>Hispanic</w:t>
      </w:r>
      <w:r w:rsidR="0027203C">
        <w:rPr>
          <w:sz w:val="28"/>
          <w:szCs w:val="28"/>
        </w:rPr>
        <w:t>- 9%</w:t>
      </w:r>
    </w:p>
    <w:p w:rsidR="003868CC" w:rsidRDefault="003868CC" w:rsidP="003868CC">
      <w:pPr>
        <w:pStyle w:val="ListParagraph"/>
        <w:numPr>
          <w:ilvl w:val="0"/>
          <w:numId w:val="1"/>
        </w:numPr>
        <w:rPr>
          <w:sz w:val="28"/>
          <w:szCs w:val="28"/>
        </w:rPr>
      </w:pPr>
      <w:r>
        <w:rPr>
          <w:sz w:val="28"/>
          <w:szCs w:val="28"/>
        </w:rPr>
        <w:t>Pacific Island</w:t>
      </w:r>
      <w:r w:rsidR="00BE5DE1">
        <w:rPr>
          <w:sz w:val="28"/>
          <w:szCs w:val="28"/>
        </w:rPr>
        <w:t>er</w:t>
      </w:r>
      <w:r w:rsidR="0027203C">
        <w:rPr>
          <w:sz w:val="28"/>
          <w:szCs w:val="28"/>
        </w:rPr>
        <w:t>- .3%</w:t>
      </w:r>
    </w:p>
    <w:p w:rsidR="00BE5DE1" w:rsidRDefault="00BE5DE1" w:rsidP="003868CC">
      <w:pPr>
        <w:pStyle w:val="ListParagraph"/>
        <w:numPr>
          <w:ilvl w:val="0"/>
          <w:numId w:val="1"/>
        </w:numPr>
        <w:rPr>
          <w:sz w:val="28"/>
          <w:szCs w:val="28"/>
        </w:rPr>
      </w:pPr>
      <w:r>
        <w:rPr>
          <w:sz w:val="28"/>
          <w:szCs w:val="28"/>
        </w:rPr>
        <w:t>American Indian/Alaskan Native</w:t>
      </w:r>
      <w:r w:rsidR="0027203C">
        <w:rPr>
          <w:sz w:val="28"/>
          <w:szCs w:val="28"/>
        </w:rPr>
        <w:t>- .5%</w:t>
      </w:r>
    </w:p>
    <w:p w:rsidR="00B02079" w:rsidRDefault="00B02079" w:rsidP="00B02079">
      <w:pPr>
        <w:rPr>
          <w:sz w:val="28"/>
          <w:szCs w:val="28"/>
        </w:rPr>
      </w:pPr>
    </w:p>
    <w:p w:rsidR="00B02079" w:rsidRDefault="00B02079" w:rsidP="00B02079">
      <w:pPr>
        <w:rPr>
          <w:sz w:val="28"/>
          <w:szCs w:val="28"/>
        </w:rPr>
      </w:pPr>
    </w:p>
    <w:p w:rsidR="00B02079" w:rsidRDefault="00B02079" w:rsidP="00B02079">
      <w:pPr>
        <w:rPr>
          <w:sz w:val="28"/>
          <w:szCs w:val="28"/>
        </w:rPr>
      </w:pPr>
    </w:p>
    <w:p w:rsidR="00B02079" w:rsidRDefault="00B02079" w:rsidP="00B02079">
      <w:pPr>
        <w:rPr>
          <w:sz w:val="28"/>
          <w:szCs w:val="28"/>
        </w:rPr>
      </w:pPr>
    </w:p>
    <w:p w:rsidR="00B02079" w:rsidRDefault="00B02079" w:rsidP="00B02079">
      <w:pPr>
        <w:rPr>
          <w:sz w:val="28"/>
          <w:szCs w:val="28"/>
        </w:rPr>
      </w:pPr>
    </w:p>
    <w:p w:rsidR="005D4398" w:rsidRDefault="00B02079" w:rsidP="0036452F">
      <w:pPr>
        <w:rPr>
          <w:sz w:val="28"/>
          <w:szCs w:val="28"/>
          <w:u w:val="single"/>
        </w:rPr>
      </w:pPr>
      <w:r w:rsidRPr="00B02079">
        <w:rPr>
          <w:sz w:val="28"/>
          <w:szCs w:val="28"/>
          <w:u w:val="single"/>
        </w:rPr>
        <w:t xml:space="preserve">Achievement Data </w:t>
      </w:r>
    </w:p>
    <w:p w:rsidR="005D4398" w:rsidRDefault="005D4398" w:rsidP="005D4398">
      <w:pPr>
        <w:spacing w:before="1" w:after="12"/>
        <w:ind w:left="440"/>
        <w:rPr>
          <w:rFonts w:ascii="Arial"/>
          <w:b/>
          <w:sz w:val="20"/>
        </w:rPr>
      </w:pPr>
    </w:p>
    <w:p w:rsidR="00E96050" w:rsidRDefault="00E96050" w:rsidP="00E96050">
      <w:pPr>
        <w:spacing w:before="1" w:after="12"/>
        <w:ind w:left="440"/>
        <w:rPr>
          <w:rFonts w:ascii="Arial"/>
          <w:b/>
          <w:sz w:val="20"/>
        </w:rPr>
      </w:pPr>
      <w:r>
        <w:rPr>
          <w:rFonts w:ascii="Arial"/>
          <w:b/>
          <w:sz w:val="20"/>
        </w:rPr>
        <w:t>Table 1</w:t>
      </w:r>
    </w:p>
    <w:tbl>
      <w:tblPr>
        <w:tblW w:w="0" w:type="auto"/>
        <w:tblInd w:w="323" w:type="dxa"/>
        <w:tblLayout w:type="fixed"/>
        <w:tblCellMar>
          <w:left w:w="0" w:type="dxa"/>
          <w:right w:w="0" w:type="dxa"/>
        </w:tblCellMar>
        <w:tblLook w:val="01E0" w:firstRow="1" w:lastRow="1" w:firstColumn="1" w:lastColumn="1" w:noHBand="0" w:noVBand="0"/>
      </w:tblPr>
      <w:tblGrid>
        <w:gridCol w:w="1448"/>
        <w:gridCol w:w="1077"/>
        <w:gridCol w:w="1172"/>
        <w:gridCol w:w="1266"/>
        <w:gridCol w:w="1266"/>
        <w:gridCol w:w="1263"/>
        <w:gridCol w:w="1388"/>
      </w:tblGrid>
      <w:tr w:rsidR="00E96050" w:rsidTr="003C42A8">
        <w:trPr>
          <w:trHeight w:val="544"/>
        </w:trPr>
        <w:tc>
          <w:tcPr>
            <w:tcW w:w="8880" w:type="dxa"/>
            <w:gridSpan w:val="7"/>
            <w:tcBorders>
              <w:bottom w:val="single" w:sz="4" w:space="0" w:color="000000"/>
            </w:tcBorders>
          </w:tcPr>
          <w:p w:rsidR="00E96050" w:rsidRDefault="00E96050" w:rsidP="003C42A8">
            <w:pPr>
              <w:pStyle w:val="TableParagraph"/>
              <w:spacing w:line="266" w:lineRule="exact"/>
              <w:ind w:left="124"/>
              <w:rPr>
                <w:i/>
                <w:sz w:val="24"/>
              </w:rPr>
            </w:pPr>
            <w:r>
              <w:rPr>
                <w:i/>
                <w:sz w:val="24"/>
              </w:rPr>
              <w:t>Third Grade Reading Proficiency Rates and Respective t-test Values</w:t>
            </w:r>
          </w:p>
        </w:tc>
      </w:tr>
      <w:tr w:rsidR="00E96050" w:rsidTr="003C42A8">
        <w:trPr>
          <w:trHeight w:val="552"/>
        </w:trPr>
        <w:tc>
          <w:tcPr>
            <w:tcW w:w="1448" w:type="dxa"/>
            <w:tcBorders>
              <w:top w:val="single" w:sz="4" w:space="0" w:color="000000"/>
              <w:bottom w:val="single" w:sz="4" w:space="0" w:color="000000"/>
            </w:tcBorders>
          </w:tcPr>
          <w:p w:rsidR="00E96050" w:rsidRDefault="00E96050" w:rsidP="003C42A8">
            <w:pPr>
              <w:pStyle w:val="TableParagraph"/>
              <w:ind w:left="124"/>
              <w:rPr>
                <w:sz w:val="24"/>
              </w:rPr>
            </w:pPr>
            <w:r>
              <w:rPr>
                <w:sz w:val="24"/>
              </w:rPr>
              <w:t>School Year</w:t>
            </w:r>
          </w:p>
        </w:tc>
        <w:tc>
          <w:tcPr>
            <w:tcW w:w="1077" w:type="dxa"/>
            <w:tcBorders>
              <w:top w:val="single" w:sz="4" w:space="0" w:color="000000"/>
              <w:bottom w:val="single" w:sz="4" w:space="0" w:color="000000"/>
            </w:tcBorders>
          </w:tcPr>
          <w:p w:rsidR="00E96050" w:rsidRDefault="00E96050" w:rsidP="003C42A8">
            <w:pPr>
              <w:pStyle w:val="TableParagraph"/>
              <w:ind w:left="136"/>
              <w:rPr>
                <w:sz w:val="24"/>
              </w:rPr>
            </w:pPr>
            <w:r>
              <w:rPr>
                <w:sz w:val="24"/>
              </w:rPr>
              <w:t>2010-11</w:t>
            </w:r>
          </w:p>
        </w:tc>
        <w:tc>
          <w:tcPr>
            <w:tcW w:w="1172" w:type="dxa"/>
            <w:tcBorders>
              <w:top w:val="single" w:sz="4" w:space="0" w:color="000000"/>
              <w:bottom w:val="single" w:sz="4" w:space="0" w:color="000000"/>
            </w:tcBorders>
          </w:tcPr>
          <w:p w:rsidR="00E96050" w:rsidRDefault="00E96050" w:rsidP="003C42A8">
            <w:pPr>
              <w:pStyle w:val="TableParagraph"/>
              <w:ind w:left="140"/>
              <w:rPr>
                <w:sz w:val="24"/>
              </w:rPr>
            </w:pPr>
            <w:r>
              <w:rPr>
                <w:sz w:val="24"/>
              </w:rPr>
              <w:t>2011-12</w:t>
            </w:r>
          </w:p>
        </w:tc>
        <w:tc>
          <w:tcPr>
            <w:tcW w:w="1266" w:type="dxa"/>
            <w:tcBorders>
              <w:top w:val="single" w:sz="4" w:space="0" w:color="000000"/>
              <w:bottom w:val="single" w:sz="4" w:space="0" w:color="000000"/>
            </w:tcBorders>
          </w:tcPr>
          <w:p w:rsidR="00E96050" w:rsidRDefault="00E96050" w:rsidP="003C42A8">
            <w:pPr>
              <w:pStyle w:val="TableParagraph"/>
              <w:ind w:left="230"/>
              <w:rPr>
                <w:sz w:val="24"/>
              </w:rPr>
            </w:pPr>
            <w:r>
              <w:rPr>
                <w:sz w:val="24"/>
              </w:rPr>
              <w:t>2012-13</w:t>
            </w:r>
          </w:p>
        </w:tc>
        <w:tc>
          <w:tcPr>
            <w:tcW w:w="1266" w:type="dxa"/>
            <w:tcBorders>
              <w:top w:val="single" w:sz="4" w:space="0" w:color="000000"/>
              <w:bottom w:val="single" w:sz="4" w:space="0" w:color="000000"/>
            </w:tcBorders>
          </w:tcPr>
          <w:p w:rsidR="00E96050" w:rsidRDefault="00E96050" w:rsidP="003C42A8">
            <w:pPr>
              <w:pStyle w:val="TableParagraph"/>
              <w:ind w:left="232"/>
              <w:rPr>
                <w:sz w:val="24"/>
              </w:rPr>
            </w:pPr>
            <w:r>
              <w:rPr>
                <w:sz w:val="24"/>
              </w:rPr>
              <w:t>2013-14</w:t>
            </w:r>
          </w:p>
        </w:tc>
        <w:tc>
          <w:tcPr>
            <w:tcW w:w="1263" w:type="dxa"/>
            <w:tcBorders>
              <w:top w:val="single" w:sz="4" w:space="0" w:color="000000"/>
              <w:bottom w:val="single" w:sz="4" w:space="0" w:color="000000"/>
            </w:tcBorders>
          </w:tcPr>
          <w:p w:rsidR="00E96050" w:rsidRDefault="00E96050" w:rsidP="003C42A8">
            <w:pPr>
              <w:pStyle w:val="TableParagraph"/>
              <w:rPr>
                <w:sz w:val="24"/>
              </w:rPr>
            </w:pPr>
            <w:r>
              <w:rPr>
                <w:sz w:val="24"/>
              </w:rPr>
              <w:t>2014-15</w:t>
            </w:r>
          </w:p>
        </w:tc>
        <w:tc>
          <w:tcPr>
            <w:tcW w:w="1388" w:type="dxa"/>
            <w:tcBorders>
              <w:top w:val="single" w:sz="4" w:space="0" w:color="000000"/>
              <w:bottom w:val="single" w:sz="4" w:space="0" w:color="000000"/>
            </w:tcBorders>
          </w:tcPr>
          <w:p w:rsidR="00E96050" w:rsidRDefault="00E96050" w:rsidP="003C42A8">
            <w:pPr>
              <w:pStyle w:val="TableParagraph"/>
              <w:rPr>
                <w:sz w:val="24"/>
              </w:rPr>
            </w:pPr>
            <w:r>
              <w:rPr>
                <w:sz w:val="24"/>
              </w:rPr>
              <w:t>2015-16</w:t>
            </w:r>
          </w:p>
        </w:tc>
      </w:tr>
      <w:tr w:rsidR="00E96050" w:rsidTr="003C42A8">
        <w:trPr>
          <w:trHeight w:val="415"/>
        </w:trPr>
        <w:tc>
          <w:tcPr>
            <w:tcW w:w="1448" w:type="dxa"/>
            <w:tcBorders>
              <w:top w:val="single" w:sz="4" w:space="0" w:color="000000"/>
            </w:tcBorders>
          </w:tcPr>
          <w:p w:rsidR="00E96050" w:rsidRDefault="00E96050" w:rsidP="003C42A8">
            <w:pPr>
              <w:pStyle w:val="TableParagraph"/>
              <w:ind w:left="124"/>
              <w:rPr>
                <w:sz w:val="24"/>
              </w:rPr>
            </w:pPr>
            <w:r>
              <w:rPr>
                <w:sz w:val="24"/>
              </w:rPr>
              <w:t>TES RPR</w:t>
            </w:r>
          </w:p>
        </w:tc>
        <w:tc>
          <w:tcPr>
            <w:tcW w:w="1077" w:type="dxa"/>
            <w:tcBorders>
              <w:top w:val="single" w:sz="4" w:space="0" w:color="000000"/>
            </w:tcBorders>
          </w:tcPr>
          <w:p w:rsidR="00E96050" w:rsidRDefault="00E96050" w:rsidP="003C42A8">
            <w:pPr>
              <w:pStyle w:val="TableParagraph"/>
              <w:ind w:left="136"/>
              <w:rPr>
                <w:sz w:val="24"/>
              </w:rPr>
            </w:pPr>
            <w:r>
              <w:rPr>
                <w:sz w:val="24"/>
              </w:rPr>
              <w:t>65.31</w:t>
            </w:r>
          </w:p>
        </w:tc>
        <w:tc>
          <w:tcPr>
            <w:tcW w:w="1172" w:type="dxa"/>
            <w:tcBorders>
              <w:top w:val="single" w:sz="4" w:space="0" w:color="000000"/>
            </w:tcBorders>
          </w:tcPr>
          <w:p w:rsidR="00E96050" w:rsidRDefault="00E96050" w:rsidP="003C42A8">
            <w:pPr>
              <w:pStyle w:val="TableParagraph"/>
              <w:ind w:left="140"/>
              <w:rPr>
                <w:sz w:val="24"/>
              </w:rPr>
            </w:pPr>
            <w:r>
              <w:rPr>
                <w:sz w:val="24"/>
              </w:rPr>
              <w:t>65.30</w:t>
            </w:r>
          </w:p>
        </w:tc>
        <w:tc>
          <w:tcPr>
            <w:tcW w:w="1266" w:type="dxa"/>
            <w:tcBorders>
              <w:top w:val="single" w:sz="4" w:space="0" w:color="000000"/>
            </w:tcBorders>
          </w:tcPr>
          <w:p w:rsidR="00E96050" w:rsidRDefault="00E96050" w:rsidP="003C42A8">
            <w:pPr>
              <w:pStyle w:val="TableParagraph"/>
              <w:ind w:left="230"/>
              <w:rPr>
                <w:sz w:val="24"/>
              </w:rPr>
            </w:pPr>
            <w:r>
              <w:rPr>
                <w:sz w:val="24"/>
              </w:rPr>
              <w:t>80.85</w:t>
            </w:r>
          </w:p>
        </w:tc>
        <w:tc>
          <w:tcPr>
            <w:tcW w:w="1266" w:type="dxa"/>
            <w:tcBorders>
              <w:top w:val="single" w:sz="4" w:space="0" w:color="000000"/>
            </w:tcBorders>
          </w:tcPr>
          <w:p w:rsidR="00E96050" w:rsidRDefault="00E96050" w:rsidP="003C42A8">
            <w:pPr>
              <w:pStyle w:val="TableParagraph"/>
              <w:ind w:left="232"/>
              <w:rPr>
                <w:sz w:val="24"/>
              </w:rPr>
            </w:pPr>
            <w:r>
              <w:rPr>
                <w:sz w:val="24"/>
              </w:rPr>
              <w:t>83.93</w:t>
            </w:r>
          </w:p>
        </w:tc>
        <w:tc>
          <w:tcPr>
            <w:tcW w:w="1263" w:type="dxa"/>
            <w:tcBorders>
              <w:top w:val="single" w:sz="4" w:space="0" w:color="000000"/>
            </w:tcBorders>
          </w:tcPr>
          <w:p w:rsidR="00E96050" w:rsidRDefault="00E96050" w:rsidP="003C42A8">
            <w:pPr>
              <w:pStyle w:val="TableParagraph"/>
              <w:rPr>
                <w:sz w:val="24"/>
              </w:rPr>
            </w:pPr>
            <w:r>
              <w:rPr>
                <w:sz w:val="24"/>
              </w:rPr>
              <w:t>91.67</w:t>
            </w:r>
          </w:p>
        </w:tc>
        <w:tc>
          <w:tcPr>
            <w:tcW w:w="1388" w:type="dxa"/>
            <w:tcBorders>
              <w:top w:val="single" w:sz="4" w:space="0" w:color="000000"/>
            </w:tcBorders>
          </w:tcPr>
          <w:p w:rsidR="00E96050" w:rsidRDefault="00E96050" w:rsidP="003C42A8">
            <w:pPr>
              <w:pStyle w:val="TableParagraph"/>
              <w:rPr>
                <w:sz w:val="24"/>
              </w:rPr>
            </w:pPr>
            <w:r>
              <w:rPr>
                <w:sz w:val="24"/>
              </w:rPr>
              <w:t>68.63</w:t>
            </w:r>
          </w:p>
        </w:tc>
      </w:tr>
      <w:tr w:rsidR="00E96050" w:rsidTr="003C42A8">
        <w:trPr>
          <w:trHeight w:val="681"/>
        </w:trPr>
        <w:tc>
          <w:tcPr>
            <w:tcW w:w="1448" w:type="dxa"/>
            <w:tcBorders>
              <w:bottom w:val="single" w:sz="4" w:space="0" w:color="000000"/>
            </w:tcBorders>
          </w:tcPr>
          <w:p w:rsidR="00E96050" w:rsidRDefault="00E96050" w:rsidP="003C42A8">
            <w:pPr>
              <w:pStyle w:val="TableParagraph"/>
              <w:spacing w:before="133" w:line="240" w:lineRule="auto"/>
              <w:ind w:left="124"/>
              <w:rPr>
                <w:sz w:val="24"/>
              </w:rPr>
            </w:pPr>
            <w:r>
              <w:rPr>
                <w:sz w:val="24"/>
              </w:rPr>
              <w:t>State RPR</w:t>
            </w:r>
          </w:p>
        </w:tc>
        <w:tc>
          <w:tcPr>
            <w:tcW w:w="1077" w:type="dxa"/>
            <w:tcBorders>
              <w:bottom w:val="single" w:sz="4" w:space="0" w:color="000000"/>
            </w:tcBorders>
          </w:tcPr>
          <w:p w:rsidR="00E96050" w:rsidRDefault="00E96050" w:rsidP="003C42A8">
            <w:pPr>
              <w:pStyle w:val="TableParagraph"/>
              <w:spacing w:before="133" w:line="240" w:lineRule="auto"/>
              <w:ind w:left="136"/>
              <w:rPr>
                <w:sz w:val="24"/>
              </w:rPr>
            </w:pPr>
            <w:r>
              <w:rPr>
                <w:sz w:val="24"/>
              </w:rPr>
              <w:t>65.50</w:t>
            </w:r>
          </w:p>
        </w:tc>
        <w:tc>
          <w:tcPr>
            <w:tcW w:w="1172" w:type="dxa"/>
            <w:tcBorders>
              <w:bottom w:val="single" w:sz="4" w:space="0" w:color="000000"/>
            </w:tcBorders>
          </w:tcPr>
          <w:p w:rsidR="00E96050" w:rsidRDefault="00E96050" w:rsidP="003C42A8">
            <w:pPr>
              <w:pStyle w:val="TableParagraph"/>
              <w:spacing w:before="133" w:line="240" w:lineRule="auto"/>
              <w:ind w:left="140"/>
              <w:rPr>
                <w:sz w:val="24"/>
              </w:rPr>
            </w:pPr>
            <w:r>
              <w:rPr>
                <w:sz w:val="24"/>
              </w:rPr>
              <w:t>69.56</w:t>
            </w:r>
          </w:p>
        </w:tc>
        <w:tc>
          <w:tcPr>
            <w:tcW w:w="1266" w:type="dxa"/>
            <w:tcBorders>
              <w:bottom w:val="single" w:sz="4" w:space="0" w:color="000000"/>
            </w:tcBorders>
          </w:tcPr>
          <w:p w:rsidR="00E96050" w:rsidRDefault="00E96050" w:rsidP="003C42A8">
            <w:pPr>
              <w:pStyle w:val="TableParagraph"/>
              <w:spacing w:before="133" w:line="240" w:lineRule="auto"/>
              <w:ind w:left="230"/>
              <w:rPr>
                <w:sz w:val="24"/>
              </w:rPr>
            </w:pPr>
            <w:r>
              <w:rPr>
                <w:sz w:val="24"/>
              </w:rPr>
              <w:t>65.66</w:t>
            </w:r>
          </w:p>
        </w:tc>
        <w:tc>
          <w:tcPr>
            <w:tcW w:w="1266" w:type="dxa"/>
            <w:tcBorders>
              <w:bottom w:val="single" w:sz="4" w:space="0" w:color="000000"/>
            </w:tcBorders>
          </w:tcPr>
          <w:p w:rsidR="00E96050" w:rsidRDefault="00E96050" w:rsidP="003C42A8">
            <w:pPr>
              <w:pStyle w:val="TableParagraph"/>
              <w:spacing w:before="133" w:line="240" w:lineRule="auto"/>
              <w:ind w:left="232"/>
              <w:rPr>
                <w:sz w:val="24"/>
              </w:rPr>
            </w:pPr>
            <w:r>
              <w:rPr>
                <w:sz w:val="24"/>
              </w:rPr>
              <w:t>61.96</w:t>
            </w:r>
          </w:p>
        </w:tc>
        <w:tc>
          <w:tcPr>
            <w:tcW w:w="1263" w:type="dxa"/>
            <w:tcBorders>
              <w:bottom w:val="single" w:sz="4" w:space="0" w:color="000000"/>
            </w:tcBorders>
          </w:tcPr>
          <w:p w:rsidR="00E96050" w:rsidRDefault="00E96050" w:rsidP="003C42A8">
            <w:pPr>
              <w:pStyle w:val="TableParagraph"/>
              <w:spacing w:before="133" w:line="240" w:lineRule="auto"/>
              <w:rPr>
                <w:sz w:val="24"/>
              </w:rPr>
            </w:pPr>
            <w:r>
              <w:rPr>
                <w:sz w:val="24"/>
              </w:rPr>
              <w:t>60.65</w:t>
            </w:r>
          </w:p>
        </w:tc>
        <w:tc>
          <w:tcPr>
            <w:tcW w:w="1388" w:type="dxa"/>
            <w:tcBorders>
              <w:bottom w:val="single" w:sz="4" w:space="0" w:color="000000"/>
            </w:tcBorders>
          </w:tcPr>
          <w:p w:rsidR="00E96050" w:rsidRDefault="00E96050" w:rsidP="003C42A8">
            <w:pPr>
              <w:pStyle w:val="TableParagraph"/>
              <w:spacing w:before="133" w:line="240" w:lineRule="auto"/>
              <w:rPr>
                <w:sz w:val="24"/>
              </w:rPr>
            </w:pPr>
            <w:r>
              <w:rPr>
                <w:sz w:val="24"/>
              </w:rPr>
              <w:t>58.05</w:t>
            </w:r>
          </w:p>
        </w:tc>
      </w:tr>
      <w:tr w:rsidR="00E96050" w:rsidTr="003C42A8">
        <w:trPr>
          <w:trHeight w:val="558"/>
        </w:trPr>
        <w:tc>
          <w:tcPr>
            <w:tcW w:w="1448" w:type="dxa"/>
            <w:tcBorders>
              <w:top w:val="single" w:sz="4" w:space="0" w:color="000000"/>
              <w:bottom w:val="single" w:sz="4" w:space="0" w:color="000000"/>
            </w:tcBorders>
          </w:tcPr>
          <w:p w:rsidR="00E96050" w:rsidRDefault="00E96050" w:rsidP="003C42A8">
            <w:pPr>
              <w:pStyle w:val="TableParagraph"/>
              <w:ind w:left="124"/>
              <w:rPr>
                <w:sz w:val="16"/>
              </w:rPr>
            </w:pPr>
            <w:r>
              <w:rPr>
                <w:sz w:val="24"/>
              </w:rPr>
              <w:t>t Score</w:t>
            </w:r>
            <w:r>
              <w:rPr>
                <w:position w:val="9"/>
                <w:sz w:val="16"/>
              </w:rPr>
              <w:t>a</w:t>
            </w:r>
          </w:p>
        </w:tc>
        <w:tc>
          <w:tcPr>
            <w:tcW w:w="1077" w:type="dxa"/>
            <w:tcBorders>
              <w:top w:val="single" w:sz="4" w:space="0" w:color="000000"/>
              <w:bottom w:val="single" w:sz="4" w:space="0" w:color="000000"/>
            </w:tcBorders>
          </w:tcPr>
          <w:p w:rsidR="00E96050" w:rsidRDefault="00E96050" w:rsidP="003C42A8">
            <w:pPr>
              <w:pStyle w:val="TableParagraph"/>
              <w:ind w:left="261"/>
              <w:rPr>
                <w:sz w:val="24"/>
              </w:rPr>
            </w:pPr>
            <w:r>
              <w:rPr>
                <w:sz w:val="24"/>
              </w:rPr>
              <w:t>0.027</w:t>
            </w:r>
          </w:p>
        </w:tc>
        <w:tc>
          <w:tcPr>
            <w:tcW w:w="1172" w:type="dxa"/>
            <w:tcBorders>
              <w:top w:val="single" w:sz="4" w:space="0" w:color="000000"/>
              <w:bottom w:val="single" w:sz="4" w:space="0" w:color="000000"/>
            </w:tcBorders>
          </w:tcPr>
          <w:p w:rsidR="00E96050" w:rsidRDefault="00E96050" w:rsidP="003C42A8">
            <w:pPr>
              <w:pStyle w:val="TableParagraph"/>
              <w:ind w:left="264"/>
              <w:rPr>
                <w:sz w:val="24"/>
              </w:rPr>
            </w:pPr>
            <w:r>
              <w:rPr>
                <w:sz w:val="24"/>
              </w:rPr>
              <w:t>0.619</w:t>
            </w:r>
          </w:p>
        </w:tc>
        <w:tc>
          <w:tcPr>
            <w:tcW w:w="1266" w:type="dxa"/>
            <w:tcBorders>
              <w:top w:val="single" w:sz="4" w:space="0" w:color="000000"/>
              <w:bottom w:val="single" w:sz="4" w:space="0" w:color="000000"/>
            </w:tcBorders>
          </w:tcPr>
          <w:p w:rsidR="00E96050" w:rsidRDefault="00E96050" w:rsidP="003C42A8">
            <w:pPr>
              <w:pStyle w:val="TableParagraph"/>
              <w:ind w:left="355"/>
              <w:rPr>
                <w:sz w:val="24"/>
              </w:rPr>
            </w:pPr>
            <w:r>
              <w:rPr>
                <w:sz w:val="24"/>
              </w:rPr>
              <w:t>2.877</w:t>
            </w:r>
          </w:p>
        </w:tc>
        <w:tc>
          <w:tcPr>
            <w:tcW w:w="1266" w:type="dxa"/>
            <w:tcBorders>
              <w:top w:val="single" w:sz="4" w:space="0" w:color="000000"/>
              <w:bottom w:val="single" w:sz="4" w:space="0" w:color="000000"/>
            </w:tcBorders>
          </w:tcPr>
          <w:p w:rsidR="00E96050" w:rsidRDefault="00E96050" w:rsidP="003C42A8">
            <w:pPr>
              <w:pStyle w:val="TableParagraph"/>
              <w:ind w:left="357"/>
              <w:rPr>
                <w:sz w:val="24"/>
              </w:rPr>
            </w:pPr>
            <w:r>
              <w:rPr>
                <w:sz w:val="24"/>
              </w:rPr>
              <w:t>3.346</w:t>
            </w:r>
          </w:p>
        </w:tc>
        <w:tc>
          <w:tcPr>
            <w:tcW w:w="1263" w:type="dxa"/>
            <w:tcBorders>
              <w:top w:val="single" w:sz="4" w:space="0" w:color="000000"/>
              <w:bottom w:val="single" w:sz="4" w:space="0" w:color="000000"/>
            </w:tcBorders>
          </w:tcPr>
          <w:p w:rsidR="00E96050" w:rsidRDefault="00E96050" w:rsidP="003C42A8">
            <w:pPr>
              <w:pStyle w:val="TableParagraph"/>
              <w:ind w:left="354"/>
              <w:rPr>
                <w:sz w:val="24"/>
              </w:rPr>
            </w:pPr>
            <w:r>
              <w:rPr>
                <w:sz w:val="24"/>
              </w:rPr>
              <w:t>4.250</w:t>
            </w:r>
          </w:p>
        </w:tc>
        <w:tc>
          <w:tcPr>
            <w:tcW w:w="1388" w:type="dxa"/>
            <w:tcBorders>
              <w:top w:val="single" w:sz="4" w:space="0" w:color="000000"/>
              <w:bottom w:val="single" w:sz="4" w:space="0" w:color="000000"/>
            </w:tcBorders>
          </w:tcPr>
          <w:p w:rsidR="00E96050" w:rsidRDefault="00E96050" w:rsidP="003C42A8">
            <w:pPr>
              <w:pStyle w:val="TableParagraph"/>
              <w:ind w:left="353"/>
              <w:rPr>
                <w:sz w:val="24"/>
              </w:rPr>
            </w:pPr>
            <w:r>
              <w:rPr>
                <w:sz w:val="24"/>
              </w:rPr>
              <w:t>1.585</w:t>
            </w:r>
          </w:p>
        </w:tc>
      </w:tr>
    </w:tbl>
    <w:p w:rsidR="00E96050" w:rsidRDefault="00E96050" w:rsidP="00E96050">
      <w:pPr>
        <w:pStyle w:val="BodyText"/>
        <w:ind w:left="440"/>
      </w:pPr>
      <w:r>
        <w:t>Note. RPR = reading proficiency rate</w:t>
      </w:r>
    </w:p>
    <w:p w:rsidR="00E96050" w:rsidRDefault="00E96050" w:rsidP="00E96050">
      <w:pPr>
        <w:pStyle w:val="BodyText"/>
        <w:spacing w:before="7"/>
        <w:rPr>
          <w:sz w:val="22"/>
        </w:rPr>
      </w:pPr>
    </w:p>
    <w:p w:rsidR="00E96050" w:rsidRDefault="00E96050" w:rsidP="00E96050">
      <w:pPr>
        <w:pStyle w:val="BodyText"/>
        <w:spacing w:line="480" w:lineRule="auto"/>
        <w:ind w:left="440" w:right="262"/>
      </w:pPr>
      <w:r>
        <w:rPr>
          <w:noProof/>
          <w:position w:val="9"/>
          <w:sz w:val="16"/>
          <w:lang w:bidi="ar-SA"/>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660399</wp:posOffset>
                </wp:positionV>
                <wp:extent cx="5057775" cy="638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057775" cy="638175"/>
                        </a:xfrm>
                        <a:prstGeom prst="rect">
                          <a:avLst/>
                        </a:prstGeom>
                        <a:solidFill>
                          <a:schemeClr val="lt1"/>
                        </a:solidFill>
                        <a:ln w="6350">
                          <a:solidFill>
                            <a:prstClr val="black"/>
                          </a:solidFill>
                        </a:ln>
                      </wps:spPr>
                      <wps:txbx>
                        <w:txbxContent>
                          <w:p w:rsidR="00E96050" w:rsidRDefault="00E96050" w:rsidP="00E96050">
                            <w:r>
                              <w:t>3</w:t>
                            </w:r>
                            <w:r w:rsidRPr="00F61217">
                              <w:rPr>
                                <w:vertAlign w:val="superscript"/>
                              </w:rPr>
                              <w:t>rd</w:t>
                            </w:r>
                            <w:r>
                              <w:t xml:space="preserve"> grade reading scores taken from the doctoral dissertation of Dr. Brad Martin, a quasi-study of the school wide implementation of MTSS examining progress in reading proficiency rates for the State Wide Test, PAWS.  </w:t>
                            </w:r>
                          </w:p>
                          <w:p w:rsidR="00E96050" w:rsidRDefault="00E960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52pt;width:398.25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" fillcolor="white [3201]" strokeweight=".5pt">
                <v:textbox>
                  <w:txbxContent>
                    <w:p w:rsidR="00E96050" w:rsidRDefault="00E96050" w:rsidP="00E96050">
                      <w:r>
                        <w:t>3</w:t>
                      </w:r>
                      <w:r w:rsidRPr="00F61217">
                        <w:rPr>
                          <w:vertAlign w:val="superscript"/>
                        </w:rPr>
                        <w:t>rd</w:t>
                      </w:r>
                      <w:r>
                        <w:t xml:space="preserve"> grade reading scores taken from the doctoral dissertation of Dr. Brad Martin, a quasi-study of the school wide implementation of MTSS examining progress in reading proficiency rates for the State Wide Test, PAWS.  </w:t>
                      </w:r>
                    </w:p>
                    <w:p w:rsidR="00E96050" w:rsidRDefault="00E96050"/>
                  </w:txbxContent>
                </v:textbox>
              </v:shape>
            </w:pict>
          </mc:Fallback>
        </mc:AlternateContent>
      </w:r>
      <w:r>
        <w:rPr>
          <w:position w:val="9"/>
          <w:sz w:val="16"/>
        </w:rPr>
        <w:t>a</w:t>
      </w:r>
      <w:r>
        <w:t xml:space="preserve">Critical value of t = 1.645 for a one-tailed test at the 95% confidence level and 1.28 for a one-tailed test at 90% confidence level, for large </w:t>
      </w:r>
      <w:proofErr w:type="spellStart"/>
      <w:r>
        <w:t>df</w:t>
      </w:r>
      <w:proofErr w:type="spellEnd"/>
      <w:r>
        <w:t xml:space="preserve"> (greater than 6500).</w:t>
      </w:r>
    </w:p>
    <w:p w:rsidR="005D4398" w:rsidRDefault="005D4398" w:rsidP="0036452F">
      <w:pPr>
        <w:rPr>
          <w:sz w:val="28"/>
          <w:szCs w:val="28"/>
          <w:u w:val="single"/>
        </w:rPr>
      </w:pPr>
    </w:p>
    <w:p w:rsidR="0033517F" w:rsidRDefault="0033517F" w:rsidP="0036452F">
      <w:pPr>
        <w:rPr>
          <w:sz w:val="28"/>
          <w:szCs w:val="28"/>
          <w:u w:val="single"/>
        </w:rPr>
      </w:pPr>
    </w:p>
    <w:p w:rsidR="00E96050" w:rsidRDefault="00E96050" w:rsidP="0036452F">
      <w:pPr>
        <w:rPr>
          <w:sz w:val="28"/>
          <w:szCs w:val="28"/>
          <w:u w:val="single"/>
        </w:rPr>
      </w:pPr>
    </w:p>
    <w:p w:rsidR="00E96050" w:rsidRDefault="00E96050" w:rsidP="00E96050">
      <w:pPr>
        <w:spacing w:after="13"/>
        <w:ind w:left="440"/>
        <w:rPr>
          <w:rFonts w:ascii="Arial"/>
          <w:b/>
          <w:sz w:val="20"/>
        </w:rPr>
      </w:pPr>
      <w:r>
        <w:rPr>
          <w:rFonts w:ascii="Arial"/>
          <w:b/>
          <w:sz w:val="20"/>
        </w:rPr>
        <w:t>Table 2</w:t>
      </w:r>
    </w:p>
    <w:tbl>
      <w:tblPr>
        <w:tblW w:w="0" w:type="auto"/>
        <w:tblInd w:w="323" w:type="dxa"/>
        <w:tblLayout w:type="fixed"/>
        <w:tblCellMar>
          <w:left w:w="0" w:type="dxa"/>
          <w:right w:w="0" w:type="dxa"/>
        </w:tblCellMar>
        <w:tblLook w:val="01E0" w:firstRow="1" w:lastRow="1" w:firstColumn="1" w:lastColumn="1" w:noHBand="0" w:noVBand="0"/>
      </w:tblPr>
      <w:tblGrid>
        <w:gridCol w:w="1448"/>
        <w:gridCol w:w="1077"/>
        <w:gridCol w:w="1172"/>
        <w:gridCol w:w="1266"/>
        <w:gridCol w:w="1266"/>
        <w:gridCol w:w="1263"/>
        <w:gridCol w:w="1388"/>
      </w:tblGrid>
      <w:tr w:rsidR="00E96050" w:rsidTr="003C42A8">
        <w:trPr>
          <w:trHeight w:val="544"/>
        </w:trPr>
        <w:tc>
          <w:tcPr>
            <w:tcW w:w="8880" w:type="dxa"/>
            <w:gridSpan w:val="7"/>
            <w:tcBorders>
              <w:bottom w:val="single" w:sz="4" w:space="0" w:color="000000"/>
            </w:tcBorders>
          </w:tcPr>
          <w:p w:rsidR="00E96050" w:rsidRDefault="00E96050" w:rsidP="003C42A8">
            <w:pPr>
              <w:pStyle w:val="TableParagraph"/>
              <w:spacing w:line="266" w:lineRule="exact"/>
              <w:ind w:left="124"/>
              <w:rPr>
                <w:i/>
                <w:sz w:val="24"/>
              </w:rPr>
            </w:pPr>
            <w:r>
              <w:rPr>
                <w:i/>
                <w:sz w:val="24"/>
              </w:rPr>
              <w:t>Fourth Grade Reading Proficiency Rates and Respective t-test Values</w:t>
            </w:r>
          </w:p>
        </w:tc>
      </w:tr>
      <w:tr w:rsidR="00E96050" w:rsidTr="003C42A8">
        <w:trPr>
          <w:trHeight w:val="551"/>
        </w:trPr>
        <w:tc>
          <w:tcPr>
            <w:tcW w:w="1448" w:type="dxa"/>
            <w:tcBorders>
              <w:top w:val="single" w:sz="4" w:space="0" w:color="000000"/>
              <w:bottom w:val="single" w:sz="4" w:space="0" w:color="000000"/>
            </w:tcBorders>
          </w:tcPr>
          <w:p w:rsidR="00E96050" w:rsidRDefault="00E96050" w:rsidP="003C42A8">
            <w:pPr>
              <w:pStyle w:val="TableParagraph"/>
              <w:ind w:left="124"/>
              <w:rPr>
                <w:sz w:val="24"/>
              </w:rPr>
            </w:pPr>
            <w:r>
              <w:rPr>
                <w:sz w:val="24"/>
              </w:rPr>
              <w:t>School Year</w:t>
            </w:r>
          </w:p>
        </w:tc>
        <w:tc>
          <w:tcPr>
            <w:tcW w:w="1077" w:type="dxa"/>
            <w:tcBorders>
              <w:top w:val="single" w:sz="4" w:space="0" w:color="000000"/>
              <w:bottom w:val="single" w:sz="4" w:space="0" w:color="000000"/>
            </w:tcBorders>
          </w:tcPr>
          <w:p w:rsidR="00E96050" w:rsidRDefault="00E96050" w:rsidP="003C42A8">
            <w:pPr>
              <w:pStyle w:val="TableParagraph"/>
              <w:ind w:left="136"/>
              <w:rPr>
                <w:sz w:val="24"/>
              </w:rPr>
            </w:pPr>
            <w:r>
              <w:rPr>
                <w:sz w:val="24"/>
              </w:rPr>
              <w:t>2010-11</w:t>
            </w:r>
          </w:p>
        </w:tc>
        <w:tc>
          <w:tcPr>
            <w:tcW w:w="1172" w:type="dxa"/>
            <w:tcBorders>
              <w:top w:val="single" w:sz="4" w:space="0" w:color="000000"/>
              <w:bottom w:val="single" w:sz="4" w:space="0" w:color="000000"/>
            </w:tcBorders>
          </w:tcPr>
          <w:p w:rsidR="00E96050" w:rsidRDefault="00E96050" w:rsidP="003C42A8">
            <w:pPr>
              <w:pStyle w:val="TableParagraph"/>
              <w:ind w:left="140"/>
              <w:rPr>
                <w:sz w:val="24"/>
              </w:rPr>
            </w:pPr>
            <w:r>
              <w:rPr>
                <w:sz w:val="24"/>
              </w:rPr>
              <w:t>2011-12</w:t>
            </w:r>
          </w:p>
        </w:tc>
        <w:tc>
          <w:tcPr>
            <w:tcW w:w="1266" w:type="dxa"/>
            <w:tcBorders>
              <w:top w:val="single" w:sz="4" w:space="0" w:color="000000"/>
              <w:bottom w:val="single" w:sz="4" w:space="0" w:color="000000"/>
            </w:tcBorders>
          </w:tcPr>
          <w:p w:rsidR="00E96050" w:rsidRDefault="00E96050" w:rsidP="003C42A8">
            <w:pPr>
              <w:pStyle w:val="TableParagraph"/>
              <w:ind w:left="230"/>
              <w:rPr>
                <w:sz w:val="24"/>
              </w:rPr>
            </w:pPr>
            <w:r>
              <w:rPr>
                <w:sz w:val="24"/>
              </w:rPr>
              <w:t>2012-13</w:t>
            </w:r>
          </w:p>
        </w:tc>
        <w:tc>
          <w:tcPr>
            <w:tcW w:w="1266" w:type="dxa"/>
            <w:tcBorders>
              <w:top w:val="single" w:sz="4" w:space="0" w:color="000000"/>
              <w:bottom w:val="single" w:sz="4" w:space="0" w:color="000000"/>
            </w:tcBorders>
          </w:tcPr>
          <w:p w:rsidR="00E96050" w:rsidRDefault="00E96050" w:rsidP="003C42A8">
            <w:pPr>
              <w:pStyle w:val="TableParagraph"/>
              <w:ind w:left="232"/>
              <w:rPr>
                <w:sz w:val="24"/>
              </w:rPr>
            </w:pPr>
            <w:r>
              <w:rPr>
                <w:sz w:val="24"/>
              </w:rPr>
              <w:t>2013-14</w:t>
            </w:r>
          </w:p>
        </w:tc>
        <w:tc>
          <w:tcPr>
            <w:tcW w:w="1263" w:type="dxa"/>
            <w:tcBorders>
              <w:top w:val="single" w:sz="4" w:space="0" w:color="000000"/>
              <w:bottom w:val="single" w:sz="4" w:space="0" w:color="000000"/>
            </w:tcBorders>
          </w:tcPr>
          <w:p w:rsidR="00E96050" w:rsidRDefault="00E96050" w:rsidP="003C42A8">
            <w:pPr>
              <w:pStyle w:val="TableParagraph"/>
              <w:rPr>
                <w:sz w:val="24"/>
              </w:rPr>
            </w:pPr>
            <w:r>
              <w:rPr>
                <w:sz w:val="24"/>
              </w:rPr>
              <w:t>2014-15</w:t>
            </w:r>
          </w:p>
        </w:tc>
        <w:tc>
          <w:tcPr>
            <w:tcW w:w="1388" w:type="dxa"/>
            <w:tcBorders>
              <w:top w:val="single" w:sz="4" w:space="0" w:color="000000"/>
              <w:bottom w:val="single" w:sz="4" w:space="0" w:color="000000"/>
            </w:tcBorders>
          </w:tcPr>
          <w:p w:rsidR="00E96050" w:rsidRDefault="00E96050" w:rsidP="003C42A8">
            <w:pPr>
              <w:pStyle w:val="TableParagraph"/>
              <w:rPr>
                <w:sz w:val="24"/>
              </w:rPr>
            </w:pPr>
            <w:r>
              <w:rPr>
                <w:sz w:val="24"/>
              </w:rPr>
              <w:t>2015-16</w:t>
            </w:r>
          </w:p>
        </w:tc>
      </w:tr>
      <w:tr w:rsidR="00E96050" w:rsidTr="003C42A8">
        <w:trPr>
          <w:trHeight w:val="413"/>
        </w:trPr>
        <w:tc>
          <w:tcPr>
            <w:tcW w:w="1448" w:type="dxa"/>
            <w:tcBorders>
              <w:top w:val="single" w:sz="4" w:space="0" w:color="000000"/>
            </w:tcBorders>
          </w:tcPr>
          <w:p w:rsidR="00E96050" w:rsidRDefault="00E96050" w:rsidP="003C42A8">
            <w:pPr>
              <w:pStyle w:val="TableParagraph"/>
              <w:ind w:left="124"/>
              <w:rPr>
                <w:sz w:val="24"/>
              </w:rPr>
            </w:pPr>
            <w:r>
              <w:rPr>
                <w:sz w:val="24"/>
              </w:rPr>
              <w:t>TES RPR</w:t>
            </w:r>
          </w:p>
        </w:tc>
        <w:tc>
          <w:tcPr>
            <w:tcW w:w="1077" w:type="dxa"/>
            <w:tcBorders>
              <w:top w:val="single" w:sz="4" w:space="0" w:color="000000"/>
            </w:tcBorders>
          </w:tcPr>
          <w:p w:rsidR="00E96050" w:rsidRDefault="00E96050" w:rsidP="003C42A8">
            <w:pPr>
              <w:pStyle w:val="TableParagraph"/>
              <w:ind w:left="136"/>
              <w:rPr>
                <w:sz w:val="24"/>
              </w:rPr>
            </w:pPr>
            <w:r>
              <w:rPr>
                <w:sz w:val="24"/>
              </w:rPr>
              <w:t>78.38</w:t>
            </w:r>
          </w:p>
        </w:tc>
        <w:tc>
          <w:tcPr>
            <w:tcW w:w="1172" w:type="dxa"/>
            <w:tcBorders>
              <w:top w:val="single" w:sz="4" w:space="0" w:color="000000"/>
            </w:tcBorders>
          </w:tcPr>
          <w:p w:rsidR="00E96050" w:rsidRDefault="00E96050" w:rsidP="003C42A8">
            <w:pPr>
              <w:pStyle w:val="TableParagraph"/>
              <w:ind w:left="140"/>
              <w:rPr>
                <w:sz w:val="24"/>
              </w:rPr>
            </w:pPr>
            <w:r>
              <w:rPr>
                <w:sz w:val="24"/>
              </w:rPr>
              <w:t>78.85</w:t>
            </w:r>
          </w:p>
        </w:tc>
        <w:tc>
          <w:tcPr>
            <w:tcW w:w="1266" w:type="dxa"/>
            <w:tcBorders>
              <w:top w:val="single" w:sz="4" w:space="0" w:color="000000"/>
            </w:tcBorders>
          </w:tcPr>
          <w:p w:rsidR="00E96050" w:rsidRDefault="00E96050" w:rsidP="003C42A8">
            <w:pPr>
              <w:pStyle w:val="TableParagraph"/>
              <w:ind w:left="230"/>
              <w:rPr>
                <w:sz w:val="24"/>
              </w:rPr>
            </w:pPr>
            <w:r>
              <w:rPr>
                <w:sz w:val="24"/>
              </w:rPr>
              <w:t>91.11</w:t>
            </w:r>
          </w:p>
        </w:tc>
        <w:tc>
          <w:tcPr>
            <w:tcW w:w="1266" w:type="dxa"/>
            <w:tcBorders>
              <w:top w:val="single" w:sz="4" w:space="0" w:color="000000"/>
            </w:tcBorders>
          </w:tcPr>
          <w:p w:rsidR="00E96050" w:rsidRDefault="00E96050" w:rsidP="003C42A8">
            <w:pPr>
              <w:pStyle w:val="TableParagraph"/>
              <w:ind w:left="232"/>
              <w:rPr>
                <w:sz w:val="24"/>
              </w:rPr>
            </w:pPr>
            <w:r>
              <w:rPr>
                <w:sz w:val="24"/>
              </w:rPr>
              <w:t>78.05</w:t>
            </w:r>
          </w:p>
        </w:tc>
        <w:tc>
          <w:tcPr>
            <w:tcW w:w="1263" w:type="dxa"/>
            <w:tcBorders>
              <w:top w:val="single" w:sz="4" w:space="0" w:color="000000"/>
            </w:tcBorders>
          </w:tcPr>
          <w:p w:rsidR="00E96050" w:rsidRDefault="00E96050" w:rsidP="003C42A8">
            <w:pPr>
              <w:pStyle w:val="TableParagraph"/>
              <w:rPr>
                <w:sz w:val="24"/>
              </w:rPr>
            </w:pPr>
            <w:r>
              <w:rPr>
                <w:sz w:val="24"/>
              </w:rPr>
              <w:t>69.09</w:t>
            </w:r>
          </w:p>
        </w:tc>
        <w:tc>
          <w:tcPr>
            <w:tcW w:w="1388" w:type="dxa"/>
            <w:tcBorders>
              <w:top w:val="single" w:sz="4" w:space="0" w:color="000000"/>
            </w:tcBorders>
          </w:tcPr>
          <w:p w:rsidR="00E96050" w:rsidRDefault="00E96050" w:rsidP="003C42A8">
            <w:pPr>
              <w:pStyle w:val="TableParagraph"/>
              <w:rPr>
                <w:sz w:val="24"/>
              </w:rPr>
            </w:pPr>
            <w:r>
              <w:rPr>
                <w:sz w:val="24"/>
              </w:rPr>
              <w:t>80.43</w:t>
            </w:r>
          </w:p>
        </w:tc>
      </w:tr>
      <w:tr w:rsidR="00E96050" w:rsidTr="003C42A8">
        <w:trPr>
          <w:trHeight w:val="679"/>
        </w:trPr>
        <w:tc>
          <w:tcPr>
            <w:tcW w:w="1448" w:type="dxa"/>
            <w:tcBorders>
              <w:bottom w:val="single" w:sz="4" w:space="0" w:color="000000"/>
            </w:tcBorders>
          </w:tcPr>
          <w:p w:rsidR="00E96050" w:rsidRDefault="00E96050" w:rsidP="003C42A8">
            <w:pPr>
              <w:pStyle w:val="TableParagraph"/>
              <w:spacing w:before="130" w:line="240" w:lineRule="auto"/>
              <w:ind w:left="124"/>
              <w:rPr>
                <w:sz w:val="24"/>
              </w:rPr>
            </w:pPr>
            <w:r>
              <w:rPr>
                <w:sz w:val="24"/>
              </w:rPr>
              <w:t>State RPR</w:t>
            </w:r>
          </w:p>
        </w:tc>
        <w:tc>
          <w:tcPr>
            <w:tcW w:w="1077" w:type="dxa"/>
            <w:tcBorders>
              <w:bottom w:val="single" w:sz="4" w:space="0" w:color="000000"/>
            </w:tcBorders>
          </w:tcPr>
          <w:p w:rsidR="00E96050" w:rsidRDefault="00E96050" w:rsidP="003C42A8">
            <w:pPr>
              <w:pStyle w:val="TableParagraph"/>
              <w:spacing w:before="130" w:line="240" w:lineRule="auto"/>
              <w:ind w:left="136"/>
              <w:rPr>
                <w:sz w:val="24"/>
              </w:rPr>
            </w:pPr>
            <w:r>
              <w:rPr>
                <w:sz w:val="24"/>
              </w:rPr>
              <w:t>83.60</w:t>
            </w:r>
          </w:p>
        </w:tc>
        <w:tc>
          <w:tcPr>
            <w:tcW w:w="1172" w:type="dxa"/>
            <w:tcBorders>
              <w:bottom w:val="single" w:sz="4" w:space="0" w:color="000000"/>
            </w:tcBorders>
          </w:tcPr>
          <w:p w:rsidR="00E96050" w:rsidRDefault="00E96050" w:rsidP="003C42A8">
            <w:pPr>
              <w:pStyle w:val="TableParagraph"/>
              <w:spacing w:before="130" w:line="240" w:lineRule="auto"/>
              <w:ind w:left="140"/>
              <w:rPr>
                <w:sz w:val="24"/>
              </w:rPr>
            </w:pPr>
            <w:r>
              <w:rPr>
                <w:sz w:val="24"/>
              </w:rPr>
              <w:t>83.16</w:t>
            </w:r>
          </w:p>
        </w:tc>
        <w:tc>
          <w:tcPr>
            <w:tcW w:w="1266" w:type="dxa"/>
            <w:tcBorders>
              <w:bottom w:val="single" w:sz="4" w:space="0" w:color="000000"/>
            </w:tcBorders>
          </w:tcPr>
          <w:p w:rsidR="00E96050" w:rsidRDefault="00E96050" w:rsidP="003C42A8">
            <w:pPr>
              <w:pStyle w:val="TableParagraph"/>
              <w:spacing w:before="130" w:line="240" w:lineRule="auto"/>
              <w:ind w:left="230"/>
              <w:rPr>
                <w:sz w:val="24"/>
              </w:rPr>
            </w:pPr>
            <w:r>
              <w:rPr>
                <w:sz w:val="24"/>
              </w:rPr>
              <w:t>78.42</w:t>
            </w:r>
          </w:p>
        </w:tc>
        <w:tc>
          <w:tcPr>
            <w:tcW w:w="1266" w:type="dxa"/>
            <w:tcBorders>
              <w:bottom w:val="single" w:sz="4" w:space="0" w:color="000000"/>
            </w:tcBorders>
          </w:tcPr>
          <w:p w:rsidR="00E96050" w:rsidRDefault="00E96050" w:rsidP="003C42A8">
            <w:pPr>
              <w:pStyle w:val="TableParagraph"/>
              <w:spacing w:before="130" w:line="240" w:lineRule="auto"/>
              <w:ind w:left="232"/>
              <w:rPr>
                <w:sz w:val="24"/>
              </w:rPr>
            </w:pPr>
            <w:r>
              <w:rPr>
                <w:sz w:val="24"/>
              </w:rPr>
              <w:t>63.91</w:t>
            </w:r>
          </w:p>
        </w:tc>
        <w:tc>
          <w:tcPr>
            <w:tcW w:w="1263" w:type="dxa"/>
            <w:tcBorders>
              <w:bottom w:val="single" w:sz="4" w:space="0" w:color="000000"/>
            </w:tcBorders>
          </w:tcPr>
          <w:p w:rsidR="00E96050" w:rsidRDefault="00E96050" w:rsidP="003C42A8">
            <w:pPr>
              <w:pStyle w:val="TableParagraph"/>
              <w:spacing w:before="130" w:line="240" w:lineRule="auto"/>
              <w:rPr>
                <w:sz w:val="24"/>
              </w:rPr>
            </w:pPr>
            <w:r>
              <w:rPr>
                <w:sz w:val="24"/>
              </w:rPr>
              <w:t>60.45</w:t>
            </w:r>
          </w:p>
        </w:tc>
        <w:tc>
          <w:tcPr>
            <w:tcW w:w="1388" w:type="dxa"/>
            <w:tcBorders>
              <w:bottom w:val="single" w:sz="4" w:space="0" w:color="000000"/>
            </w:tcBorders>
          </w:tcPr>
          <w:p w:rsidR="00E96050" w:rsidRDefault="00E96050" w:rsidP="003C42A8">
            <w:pPr>
              <w:pStyle w:val="TableParagraph"/>
              <w:spacing w:before="130" w:line="240" w:lineRule="auto"/>
              <w:rPr>
                <w:sz w:val="24"/>
              </w:rPr>
            </w:pPr>
            <w:r>
              <w:rPr>
                <w:sz w:val="24"/>
              </w:rPr>
              <w:t>65.44</w:t>
            </w:r>
          </w:p>
        </w:tc>
      </w:tr>
      <w:tr w:rsidR="00E96050" w:rsidTr="003C42A8">
        <w:trPr>
          <w:trHeight w:val="558"/>
        </w:trPr>
        <w:tc>
          <w:tcPr>
            <w:tcW w:w="1448" w:type="dxa"/>
            <w:tcBorders>
              <w:top w:val="single" w:sz="4" w:space="0" w:color="000000"/>
              <w:bottom w:val="single" w:sz="4" w:space="0" w:color="000000"/>
            </w:tcBorders>
          </w:tcPr>
          <w:p w:rsidR="00E96050" w:rsidRDefault="00E96050" w:rsidP="003C42A8">
            <w:pPr>
              <w:pStyle w:val="TableParagraph"/>
              <w:ind w:left="124"/>
              <w:rPr>
                <w:sz w:val="16"/>
              </w:rPr>
            </w:pPr>
            <w:r>
              <w:rPr>
                <w:sz w:val="24"/>
              </w:rPr>
              <w:t>t Score</w:t>
            </w:r>
            <w:r>
              <w:rPr>
                <w:position w:val="9"/>
                <w:sz w:val="16"/>
              </w:rPr>
              <w:t>a</w:t>
            </w:r>
          </w:p>
        </w:tc>
        <w:tc>
          <w:tcPr>
            <w:tcW w:w="1077" w:type="dxa"/>
            <w:tcBorders>
              <w:top w:val="single" w:sz="4" w:space="0" w:color="000000"/>
              <w:bottom w:val="single" w:sz="4" w:space="0" w:color="000000"/>
            </w:tcBorders>
          </w:tcPr>
          <w:p w:rsidR="00E96050" w:rsidRDefault="00E96050" w:rsidP="003C42A8">
            <w:pPr>
              <w:pStyle w:val="TableParagraph"/>
              <w:ind w:left="261"/>
              <w:rPr>
                <w:sz w:val="24"/>
              </w:rPr>
            </w:pPr>
            <w:r>
              <w:rPr>
                <w:sz w:val="24"/>
              </w:rPr>
              <w:t>0.831</w:t>
            </w:r>
          </w:p>
        </w:tc>
        <w:tc>
          <w:tcPr>
            <w:tcW w:w="1172" w:type="dxa"/>
            <w:tcBorders>
              <w:top w:val="single" w:sz="4" w:space="0" w:color="000000"/>
              <w:bottom w:val="single" w:sz="4" w:space="0" w:color="000000"/>
            </w:tcBorders>
          </w:tcPr>
          <w:p w:rsidR="00E96050" w:rsidRDefault="00E96050" w:rsidP="003C42A8">
            <w:pPr>
              <w:pStyle w:val="TableParagraph"/>
              <w:ind w:left="264"/>
              <w:rPr>
                <w:sz w:val="24"/>
              </w:rPr>
            </w:pPr>
            <w:r>
              <w:rPr>
                <w:sz w:val="24"/>
              </w:rPr>
              <w:t>0.850</w:t>
            </w:r>
          </w:p>
        </w:tc>
        <w:tc>
          <w:tcPr>
            <w:tcW w:w="1266" w:type="dxa"/>
            <w:tcBorders>
              <w:top w:val="single" w:sz="4" w:space="0" w:color="000000"/>
              <w:bottom w:val="single" w:sz="4" w:space="0" w:color="000000"/>
            </w:tcBorders>
          </w:tcPr>
          <w:p w:rsidR="00E96050" w:rsidRDefault="00E96050" w:rsidP="003C42A8">
            <w:pPr>
              <w:pStyle w:val="TableParagraph"/>
              <w:ind w:left="355"/>
              <w:rPr>
                <w:sz w:val="24"/>
              </w:rPr>
            </w:pPr>
            <w:r>
              <w:rPr>
                <w:sz w:val="24"/>
              </w:rPr>
              <w:t>2.066</w:t>
            </w:r>
          </w:p>
        </w:tc>
        <w:tc>
          <w:tcPr>
            <w:tcW w:w="1266" w:type="dxa"/>
            <w:tcBorders>
              <w:top w:val="single" w:sz="4" w:space="0" w:color="000000"/>
              <w:bottom w:val="single" w:sz="4" w:space="0" w:color="000000"/>
            </w:tcBorders>
          </w:tcPr>
          <w:p w:rsidR="00E96050" w:rsidRDefault="00E96050" w:rsidP="003C42A8">
            <w:pPr>
              <w:pStyle w:val="TableParagraph"/>
              <w:ind w:left="357"/>
              <w:rPr>
                <w:sz w:val="24"/>
              </w:rPr>
            </w:pPr>
            <w:r>
              <w:rPr>
                <w:sz w:val="24"/>
              </w:rPr>
              <w:t>1.970</w:t>
            </w:r>
          </w:p>
        </w:tc>
        <w:tc>
          <w:tcPr>
            <w:tcW w:w="1263" w:type="dxa"/>
            <w:tcBorders>
              <w:top w:val="single" w:sz="4" w:space="0" w:color="000000"/>
              <w:bottom w:val="single" w:sz="4" w:space="0" w:color="000000"/>
            </w:tcBorders>
          </w:tcPr>
          <w:p w:rsidR="00E96050" w:rsidRDefault="00E96050" w:rsidP="003C42A8">
            <w:pPr>
              <w:pStyle w:val="TableParagraph"/>
              <w:ind w:left="354"/>
              <w:rPr>
                <w:sz w:val="24"/>
              </w:rPr>
            </w:pPr>
            <w:r>
              <w:rPr>
                <w:sz w:val="24"/>
              </w:rPr>
              <w:t>1.306</w:t>
            </w:r>
          </w:p>
        </w:tc>
        <w:tc>
          <w:tcPr>
            <w:tcW w:w="1388" w:type="dxa"/>
            <w:tcBorders>
              <w:top w:val="single" w:sz="4" w:space="0" w:color="000000"/>
              <w:bottom w:val="single" w:sz="4" w:space="0" w:color="000000"/>
            </w:tcBorders>
          </w:tcPr>
          <w:p w:rsidR="00E96050" w:rsidRDefault="00E96050" w:rsidP="003C42A8">
            <w:pPr>
              <w:pStyle w:val="TableParagraph"/>
              <w:ind w:left="353"/>
              <w:rPr>
                <w:sz w:val="24"/>
              </w:rPr>
            </w:pPr>
            <w:r>
              <w:rPr>
                <w:sz w:val="24"/>
              </w:rPr>
              <w:t>2.109</w:t>
            </w:r>
          </w:p>
        </w:tc>
      </w:tr>
    </w:tbl>
    <w:p w:rsidR="00E96050" w:rsidRDefault="00E96050" w:rsidP="00E96050">
      <w:pPr>
        <w:pStyle w:val="BodyText"/>
        <w:ind w:left="440"/>
      </w:pPr>
      <w:r>
        <w:t>Note. RPR = reading proficiency rate</w:t>
      </w:r>
    </w:p>
    <w:p w:rsidR="00E96050" w:rsidRDefault="00E96050" w:rsidP="00E96050">
      <w:pPr>
        <w:pStyle w:val="BodyText"/>
        <w:spacing w:before="7"/>
        <w:rPr>
          <w:sz w:val="22"/>
        </w:rPr>
      </w:pPr>
    </w:p>
    <w:p w:rsidR="00E96050" w:rsidRDefault="00E96050" w:rsidP="00E96050">
      <w:pPr>
        <w:pStyle w:val="BodyText"/>
        <w:spacing w:line="480" w:lineRule="auto"/>
        <w:ind w:left="440" w:right="262"/>
      </w:pPr>
      <w:r>
        <w:rPr>
          <w:position w:val="9"/>
          <w:sz w:val="16"/>
        </w:rPr>
        <w:t>a</w:t>
      </w:r>
      <w:r>
        <w:t xml:space="preserve">Critical value of t = 1.645 for a one-tailed test at the 95% confidence level and 1.28 for a one-tailed test at 90% confidence level, for large </w:t>
      </w:r>
      <w:proofErr w:type="spellStart"/>
      <w:r>
        <w:t>df</w:t>
      </w:r>
      <w:proofErr w:type="spellEnd"/>
      <w:r>
        <w:t xml:space="preserve"> (greater than 6500).</w:t>
      </w:r>
    </w:p>
    <w:p w:rsidR="00E96050" w:rsidRDefault="00E96050" w:rsidP="0036452F">
      <w:pPr>
        <w:rPr>
          <w:sz w:val="28"/>
          <w:szCs w:val="28"/>
          <w:u w:val="single"/>
        </w:rPr>
      </w:pPr>
      <w:r>
        <w:rPr>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24130</wp:posOffset>
                </wp:positionV>
                <wp:extent cx="5219700" cy="685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219700" cy="685800"/>
                        </a:xfrm>
                        <a:prstGeom prst="rect">
                          <a:avLst/>
                        </a:prstGeom>
                        <a:solidFill>
                          <a:schemeClr val="lt1"/>
                        </a:solidFill>
                        <a:ln w="6350">
                          <a:solidFill>
                            <a:prstClr val="black"/>
                          </a:solidFill>
                        </a:ln>
                      </wps:spPr>
                      <wps:txbx>
                        <w:txbxContent>
                          <w:p w:rsidR="00E96050" w:rsidRDefault="00E96050" w:rsidP="00E96050">
                            <w:r>
                              <w:t xml:space="preserve">4th grade reading scores taken from the doctoral dissertation of Dr. Brad Martin, a quasi-study of the school wide implementation of MTSS examining progress in reading proficiency rates for the State Wide Test, PAWS.  </w:t>
                            </w:r>
                          </w:p>
                          <w:p w:rsidR="00E96050" w:rsidRDefault="00E960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4pt;margin-top:1.9pt;width:411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" fillcolor="white [3201]" strokeweight=".5pt">
                <v:textbox>
                  <w:txbxContent>
                    <w:p w:rsidR="00E96050" w:rsidRDefault="00E96050" w:rsidP="00E96050">
                      <w:r>
                        <w:t xml:space="preserve">4th grade reading scores taken from the doctoral dissertation of Dr. Brad Martin, a quasi-study of the school wide implementation of MTSS examining progress in reading proficiency rates for the State Wide Test, PAWS.  </w:t>
                      </w:r>
                    </w:p>
                    <w:p w:rsidR="00E96050" w:rsidRDefault="00E96050"/>
                  </w:txbxContent>
                </v:textbox>
              </v:shape>
            </w:pict>
          </mc:Fallback>
        </mc:AlternateContent>
      </w:r>
    </w:p>
    <w:p w:rsidR="0033517F" w:rsidRDefault="0033517F" w:rsidP="0036452F">
      <w:pPr>
        <w:rPr>
          <w:sz w:val="28"/>
          <w:szCs w:val="28"/>
          <w:u w:val="single"/>
        </w:rPr>
      </w:pPr>
      <w:r w:rsidRPr="0033517F">
        <w:rPr>
          <w:noProof/>
        </w:rPr>
        <w:lastRenderedPageBreak/>
        <w:drawing>
          <wp:inline distT="0" distB="0" distL="0" distR="0">
            <wp:extent cx="6353175" cy="2990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3853" cy="2995877"/>
                    </a:xfrm>
                    <a:prstGeom prst="rect">
                      <a:avLst/>
                    </a:prstGeom>
                    <a:noFill/>
                    <a:ln>
                      <a:noFill/>
                    </a:ln>
                  </pic:spPr>
                </pic:pic>
              </a:graphicData>
            </a:graphic>
          </wp:inline>
        </w:drawing>
      </w:r>
    </w:p>
    <w:p w:rsidR="003E4D14" w:rsidRDefault="003E4D14" w:rsidP="0036452F">
      <w:pPr>
        <w:rPr>
          <w:sz w:val="28"/>
          <w:szCs w:val="28"/>
          <w:u w:val="single"/>
        </w:rPr>
      </w:pPr>
    </w:p>
    <w:p w:rsidR="0033517F" w:rsidRDefault="0033517F" w:rsidP="0036452F">
      <w:pPr>
        <w:rPr>
          <w:sz w:val="28"/>
          <w:szCs w:val="28"/>
          <w:u w:val="single"/>
        </w:rPr>
      </w:pPr>
      <w:r w:rsidRPr="0033517F">
        <w:rPr>
          <w:noProof/>
        </w:rPr>
        <w:drawing>
          <wp:inline distT="0" distB="0" distL="0" distR="0">
            <wp:extent cx="6362700" cy="4133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0207" cy="4145224"/>
                    </a:xfrm>
                    <a:prstGeom prst="rect">
                      <a:avLst/>
                    </a:prstGeom>
                    <a:noFill/>
                    <a:ln>
                      <a:noFill/>
                    </a:ln>
                  </pic:spPr>
                </pic:pic>
              </a:graphicData>
            </a:graphic>
          </wp:inline>
        </w:drawing>
      </w:r>
    </w:p>
    <w:p w:rsidR="0033517F" w:rsidRDefault="0033517F" w:rsidP="0036452F">
      <w:pPr>
        <w:rPr>
          <w:sz w:val="28"/>
          <w:szCs w:val="28"/>
          <w:u w:val="single"/>
        </w:rPr>
      </w:pPr>
      <w:r w:rsidRPr="0033517F">
        <w:rPr>
          <w:noProof/>
        </w:rPr>
        <w:lastRenderedPageBreak/>
        <w:drawing>
          <wp:inline distT="0" distB="0" distL="0" distR="0">
            <wp:extent cx="6219825" cy="4914613"/>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8372" cy="4921366"/>
                    </a:xfrm>
                    <a:prstGeom prst="rect">
                      <a:avLst/>
                    </a:prstGeom>
                    <a:noFill/>
                    <a:ln>
                      <a:noFill/>
                    </a:ln>
                  </pic:spPr>
                </pic:pic>
              </a:graphicData>
            </a:graphic>
          </wp:inline>
        </w:drawing>
      </w:r>
    </w:p>
    <w:p w:rsidR="0033517F" w:rsidRDefault="0033517F" w:rsidP="0036452F">
      <w:pPr>
        <w:rPr>
          <w:sz w:val="28"/>
          <w:szCs w:val="28"/>
          <w:u w:val="single"/>
        </w:rPr>
      </w:pPr>
    </w:p>
    <w:p w:rsidR="003E4D14" w:rsidRDefault="003E4D14" w:rsidP="0036452F">
      <w:pPr>
        <w:rPr>
          <w:sz w:val="28"/>
          <w:szCs w:val="28"/>
          <w:u w:val="single"/>
        </w:rPr>
      </w:pPr>
      <w:r>
        <w:rPr>
          <w:sz w:val="28"/>
          <w:szCs w:val="28"/>
          <w:u w:val="single"/>
        </w:rPr>
        <w:t>Canyon Elementary Significant Data</w:t>
      </w:r>
    </w:p>
    <w:p w:rsidR="00D3712C" w:rsidRPr="00F61217" w:rsidRDefault="003531D1" w:rsidP="0036452F">
      <w:pPr>
        <w:rPr>
          <w:sz w:val="24"/>
          <w:szCs w:val="24"/>
        </w:rPr>
      </w:pPr>
      <w:r>
        <w:rPr>
          <w:sz w:val="24"/>
          <w:szCs w:val="24"/>
        </w:rPr>
        <w:t xml:space="preserve">Canyon elementary began implementation of </w:t>
      </w:r>
      <w:r w:rsidR="0051162A">
        <w:rPr>
          <w:sz w:val="24"/>
          <w:szCs w:val="24"/>
        </w:rPr>
        <w:t xml:space="preserve">the </w:t>
      </w:r>
      <w:r>
        <w:rPr>
          <w:sz w:val="24"/>
          <w:szCs w:val="24"/>
        </w:rPr>
        <w:t>PLC</w:t>
      </w:r>
      <w:r w:rsidR="0051162A">
        <w:rPr>
          <w:sz w:val="24"/>
          <w:szCs w:val="24"/>
        </w:rPr>
        <w:t xml:space="preserve"> process</w:t>
      </w:r>
      <w:r>
        <w:rPr>
          <w:sz w:val="24"/>
          <w:szCs w:val="24"/>
        </w:rPr>
        <w:t xml:space="preserve"> during the year 2012. </w:t>
      </w:r>
      <w:r w:rsidR="00AC38BF">
        <w:rPr>
          <w:sz w:val="24"/>
          <w:szCs w:val="24"/>
        </w:rPr>
        <w:t>Canyon elementary had enjoyed seven and a half years</w:t>
      </w:r>
      <w:r w:rsidR="0051162A">
        <w:rPr>
          <w:sz w:val="24"/>
          <w:szCs w:val="24"/>
        </w:rPr>
        <w:t xml:space="preserve"> of PLC </w:t>
      </w:r>
      <w:r w:rsidR="00AC38BF">
        <w:rPr>
          <w:sz w:val="24"/>
          <w:szCs w:val="24"/>
        </w:rPr>
        <w:t xml:space="preserve">effectiveness. </w:t>
      </w:r>
      <w:r w:rsidR="00D32C64">
        <w:rPr>
          <w:sz w:val="24"/>
          <w:szCs w:val="24"/>
        </w:rPr>
        <w:t xml:space="preserve">In this application, there are two sets of data charts, one indicating the last three years of PLC implementation and one set of data for the first four years, results from a study conducted by Brad Martin. </w:t>
      </w:r>
      <w:r w:rsidR="003E2944">
        <w:rPr>
          <w:sz w:val="24"/>
          <w:szCs w:val="24"/>
        </w:rPr>
        <w:t>While test scores not always accurately show growth, progress, and all of the other amazing work our teachers put into the PLC process, we do use our states standardize testing as one method of accountability. The State of Wyoming previously used PAWS and now is currently employing WY-TOPP for testing purposes.</w:t>
      </w:r>
    </w:p>
    <w:p w:rsidR="00F61217" w:rsidRDefault="00F61217" w:rsidP="00F61217">
      <w:pPr>
        <w:rPr>
          <w:sz w:val="24"/>
          <w:szCs w:val="24"/>
        </w:rPr>
      </w:pPr>
      <w:r>
        <w:rPr>
          <w:sz w:val="24"/>
          <w:szCs w:val="24"/>
        </w:rPr>
        <w:t>Dr. Brad Martin conducted his study</w:t>
      </w:r>
      <w:r w:rsidR="00F47243">
        <w:rPr>
          <w:sz w:val="24"/>
          <w:szCs w:val="24"/>
        </w:rPr>
        <w:t xml:space="preserve"> on the </w:t>
      </w:r>
      <w:r w:rsidR="0051162A">
        <w:rPr>
          <w:sz w:val="24"/>
          <w:szCs w:val="24"/>
        </w:rPr>
        <w:t xml:space="preserve">efficacy of PLC </w:t>
      </w:r>
      <w:r>
        <w:rPr>
          <w:sz w:val="24"/>
          <w:szCs w:val="24"/>
        </w:rPr>
        <w:t>implementation in regards to increasing the proficiency rates of reader in the third and fourth grade</w:t>
      </w:r>
      <w:r w:rsidR="00F47243">
        <w:rPr>
          <w:sz w:val="24"/>
          <w:szCs w:val="24"/>
        </w:rPr>
        <w:t xml:space="preserve">. </w:t>
      </w:r>
      <w:r>
        <w:rPr>
          <w:sz w:val="24"/>
          <w:szCs w:val="24"/>
        </w:rPr>
        <w:t xml:space="preserve"> Dr. Martin’s baseline data included </w:t>
      </w:r>
      <w:r w:rsidR="00A916B2">
        <w:rPr>
          <w:sz w:val="24"/>
          <w:szCs w:val="24"/>
        </w:rPr>
        <w:t xml:space="preserve">two years of scores prior to </w:t>
      </w:r>
      <w:r w:rsidR="00265208">
        <w:rPr>
          <w:sz w:val="24"/>
          <w:szCs w:val="24"/>
        </w:rPr>
        <w:t xml:space="preserve">PLC </w:t>
      </w:r>
      <w:r w:rsidR="00A916B2">
        <w:rPr>
          <w:sz w:val="24"/>
          <w:szCs w:val="24"/>
        </w:rPr>
        <w:t>implementation</w:t>
      </w:r>
      <w:r>
        <w:rPr>
          <w:sz w:val="24"/>
          <w:szCs w:val="24"/>
        </w:rPr>
        <w:t xml:space="preserve"> (2010-2012)</w:t>
      </w:r>
      <w:r w:rsidR="00A916B2">
        <w:rPr>
          <w:sz w:val="24"/>
          <w:szCs w:val="24"/>
        </w:rPr>
        <w:t xml:space="preserve"> and four years following implementation</w:t>
      </w:r>
      <w:r>
        <w:rPr>
          <w:sz w:val="24"/>
          <w:szCs w:val="24"/>
        </w:rPr>
        <w:t xml:space="preserve"> (2013-2016)</w:t>
      </w:r>
      <w:r w:rsidR="00A916B2">
        <w:rPr>
          <w:sz w:val="24"/>
          <w:szCs w:val="24"/>
        </w:rPr>
        <w:t>. The local reading sc</w:t>
      </w:r>
      <w:r w:rsidR="00265208">
        <w:rPr>
          <w:sz w:val="24"/>
          <w:szCs w:val="24"/>
        </w:rPr>
        <w:t>ores were compared to the state</w:t>
      </w:r>
      <w:r w:rsidR="00A916B2">
        <w:rPr>
          <w:sz w:val="24"/>
          <w:szCs w:val="24"/>
        </w:rPr>
        <w:t xml:space="preserve"> </w:t>
      </w:r>
      <w:r w:rsidR="00A916B2">
        <w:rPr>
          <w:sz w:val="24"/>
          <w:szCs w:val="24"/>
        </w:rPr>
        <w:lastRenderedPageBreak/>
        <w:t>reading proficiency rates for each year for each of the two grades. What Dr. Martin found was that the two years prior to implementation there were no significant differences between scores of Canyon Elementary and the State scores. During im</w:t>
      </w:r>
      <w:r>
        <w:rPr>
          <w:sz w:val="24"/>
          <w:szCs w:val="24"/>
        </w:rPr>
        <w:t xml:space="preserve">plementation, </w:t>
      </w:r>
      <w:r w:rsidR="0051162A">
        <w:t>that six of the eight post-PLC</w:t>
      </w:r>
      <w:r>
        <w:t xml:space="preserve"> comparisons</w:t>
      </w:r>
      <w:r>
        <w:rPr>
          <w:sz w:val="24"/>
          <w:szCs w:val="24"/>
        </w:rPr>
        <w:t xml:space="preserve"> show that Canyon Elementary reading proficiency rates were significantly higher than the state rates at the 95% confidence level and the remaining two were significant at the 90% confidence level</w:t>
      </w:r>
      <w:r w:rsidR="001F1DDB">
        <w:rPr>
          <w:sz w:val="24"/>
          <w:szCs w:val="24"/>
        </w:rPr>
        <w:t xml:space="preserve"> (Martin, 2017)</w:t>
      </w:r>
      <w:r>
        <w:rPr>
          <w:sz w:val="24"/>
          <w:szCs w:val="24"/>
        </w:rPr>
        <w:t xml:space="preserve">. </w:t>
      </w:r>
      <w:r w:rsidR="001F1DDB">
        <w:rPr>
          <w:sz w:val="24"/>
          <w:szCs w:val="24"/>
        </w:rPr>
        <w:t xml:space="preserve"> His findings clearly indicate the efficacy with which the staff worked diligently to implement PLC</w:t>
      </w:r>
      <w:r w:rsidR="0051162A">
        <w:rPr>
          <w:sz w:val="24"/>
          <w:szCs w:val="24"/>
        </w:rPr>
        <w:t xml:space="preserve"> </w:t>
      </w:r>
      <w:r w:rsidR="001F1DDB">
        <w:rPr>
          <w:sz w:val="24"/>
          <w:szCs w:val="24"/>
        </w:rPr>
        <w:t xml:space="preserve">with substantial results. </w:t>
      </w:r>
    </w:p>
    <w:p w:rsidR="00470980" w:rsidRDefault="00326C68" w:rsidP="00F61217">
      <w:pPr>
        <w:rPr>
          <w:sz w:val="24"/>
          <w:szCs w:val="24"/>
        </w:rPr>
      </w:pPr>
      <w:r>
        <w:rPr>
          <w:sz w:val="24"/>
          <w:szCs w:val="24"/>
        </w:rPr>
        <w:t>Follow</w:t>
      </w:r>
      <w:r w:rsidR="00265208">
        <w:rPr>
          <w:sz w:val="24"/>
          <w:szCs w:val="24"/>
        </w:rPr>
        <w:t>ing Dr. Martin’s study, Canyon E</w:t>
      </w:r>
      <w:r>
        <w:rPr>
          <w:sz w:val="24"/>
          <w:szCs w:val="24"/>
        </w:rPr>
        <w:t>lementary continued to improve upon our school wide implementation of PLC ‘s. You can see h</w:t>
      </w:r>
      <w:r w:rsidR="00265208">
        <w:rPr>
          <w:sz w:val="24"/>
          <w:szCs w:val="24"/>
        </w:rPr>
        <w:t>ow we have been able to advance</w:t>
      </w:r>
      <w:r>
        <w:rPr>
          <w:sz w:val="24"/>
          <w:szCs w:val="24"/>
        </w:rPr>
        <w:t xml:space="preserve"> with our progress and improvement of our scores, which for the most part, remain above the s</w:t>
      </w:r>
      <w:r w:rsidR="00DB2017">
        <w:rPr>
          <w:sz w:val="24"/>
          <w:szCs w:val="24"/>
        </w:rPr>
        <w:t xml:space="preserve">tate average. During the year 2016-2017, PAWS continued as the state wide assessment. </w:t>
      </w:r>
      <w:r w:rsidR="001E2C0F">
        <w:rPr>
          <w:sz w:val="24"/>
          <w:szCs w:val="24"/>
        </w:rPr>
        <w:t xml:space="preserve">Our scores remained above the state average a minimum of 6 percentage points to a maximum of 21 percentage points. </w:t>
      </w:r>
      <w:r w:rsidR="00DB2017">
        <w:rPr>
          <w:sz w:val="24"/>
          <w:szCs w:val="24"/>
        </w:rPr>
        <w:t xml:space="preserve">Wyoming changed </w:t>
      </w:r>
      <w:r w:rsidR="001E2C0F">
        <w:rPr>
          <w:sz w:val="24"/>
          <w:szCs w:val="24"/>
        </w:rPr>
        <w:t xml:space="preserve">their state assessment to WY-TOPP beginning in 2017. </w:t>
      </w:r>
      <w:r w:rsidR="00962A9B">
        <w:rPr>
          <w:sz w:val="24"/>
          <w:szCs w:val="24"/>
        </w:rPr>
        <w:t xml:space="preserve">Where PAWS was a paper based test, WY-TOPP presents as a computerized test. This change in format was difficult for both students and teachers, as we, as a whole school, had to learn a new format. Teachers took extra time to teach students how to navigate the site, the new tools available, and the new question designs. There were decreases in scores across the state of Wyoming during this change, however, through working collaboratively with our grade level PLC’s and through intensive small group instruction, CES was still able to </w:t>
      </w:r>
      <w:r w:rsidR="00ED33DF">
        <w:rPr>
          <w:sz w:val="24"/>
          <w:szCs w:val="24"/>
        </w:rPr>
        <w:t xml:space="preserve">remain close to or above the state average. </w:t>
      </w:r>
      <w:r w:rsidR="0033517F">
        <w:rPr>
          <w:sz w:val="24"/>
          <w:szCs w:val="24"/>
        </w:rPr>
        <w:t xml:space="preserve">CES maintained an average of 6 percentage points above the state average across math, reading, and science. </w:t>
      </w:r>
    </w:p>
    <w:p w:rsidR="00326C68" w:rsidRDefault="003E2944" w:rsidP="00F61217">
      <w:pPr>
        <w:rPr>
          <w:sz w:val="24"/>
          <w:szCs w:val="24"/>
        </w:rPr>
      </w:pPr>
      <w:r>
        <w:rPr>
          <w:sz w:val="24"/>
          <w:szCs w:val="24"/>
        </w:rPr>
        <w:t xml:space="preserve">Following the first year of WY-TOPP testing, we steadily increased our </w:t>
      </w:r>
      <w:r w:rsidR="00470980">
        <w:rPr>
          <w:sz w:val="24"/>
          <w:szCs w:val="24"/>
        </w:rPr>
        <w:t xml:space="preserve">scores. In year 2018-2019, </w:t>
      </w:r>
      <w:r w:rsidR="006919E8">
        <w:rPr>
          <w:sz w:val="24"/>
          <w:szCs w:val="24"/>
        </w:rPr>
        <w:t>CES not only remained above the state average in both reading and math, but increased our scores by an average of</w:t>
      </w:r>
      <w:r w:rsidR="0033517F">
        <w:rPr>
          <w:sz w:val="24"/>
          <w:szCs w:val="24"/>
        </w:rPr>
        <w:t xml:space="preserve"> 13.</w:t>
      </w:r>
      <w:r w:rsidR="00F009BD">
        <w:rPr>
          <w:sz w:val="24"/>
          <w:szCs w:val="24"/>
        </w:rPr>
        <w:t xml:space="preserve"> 1p</w:t>
      </w:r>
      <w:r w:rsidR="0033517F">
        <w:rPr>
          <w:sz w:val="24"/>
          <w:szCs w:val="24"/>
        </w:rPr>
        <w:t xml:space="preserve">ercentage points across reading, math, and science. </w:t>
      </w:r>
      <w:r w:rsidR="006919E8">
        <w:rPr>
          <w:sz w:val="24"/>
          <w:szCs w:val="24"/>
        </w:rPr>
        <w:t xml:space="preserve"> </w:t>
      </w:r>
    </w:p>
    <w:p w:rsidR="00F009BD" w:rsidRDefault="00F009BD" w:rsidP="00F61217">
      <w:pPr>
        <w:rPr>
          <w:sz w:val="24"/>
          <w:szCs w:val="24"/>
        </w:rPr>
      </w:pPr>
      <w:r>
        <w:rPr>
          <w:sz w:val="24"/>
          <w:szCs w:val="24"/>
        </w:rPr>
        <w:t>One area where</w:t>
      </w:r>
      <w:r w:rsidR="0051162A">
        <w:rPr>
          <w:sz w:val="24"/>
          <w:szCs w:val="24"/>
        </w:rPr>
        <w:t xml:space="preserve"> Canyon’s work through the PLC process</w:t>
      </w:r>
      <w:r>
        <w:rPr>
          <w:sz w:val="24"/>
          <w:szCs w:val="24"/>
        </w:rPr>
        <w:t xml:space="preserve"> really shined was in the growth number of our 6</w:t>
      </w:r>
      <w:r w:rsidRPr="00F009BD">
        <w:rPr>
          <w:sz w:val="24"/>
          <w:szCs w:val="24"/>
          <w:vertAlign w:val="superscript"/>
        </w:rPr>
        <w:t>th</w:t>
      </w:r>
      <w:r>
        <w:rPr>
          <w:sz w:val="24"/>
          <w:szCs w:val="24"/>
        </w:rPr>
        <w:t xml:space="preserve"> grade students from year 2017 to 2019. Through grade level PLC meetings, our sixth grade teachers identified skill deficits in reading and math. Each week, the met for 45 minutes or more to discuss how to dived their groups into the most effective levels and skills in order to address these deficits. In reading, their students grew an average of 48 points.</w:t>
      </w:r>
    </w:p>
    <w:p w:rsidR="00F009BD" w:rsidRDefault="00F009BD" w:rsidP="00F61217">
      <w:pPr>
        <w:rPr>
          <w:b/>
          <w:sz w:val="24"/>
          <w:szCs w:val="24"/>
          <w:u w:val="single"/>
        </w:rPr>
      </w:pPr>
      <w:r w:rsidRPr="00F009BD">
        <w:rPr>
          <w:b/>
          <w:sz w:val="24"/>
          <w:szCs w:val="24"/>
          <w:u w:val="single"/>
        </w:rPr>
        <w:t xml:space="preserve">Efforts </w:t>
      </w:r>
      <w:r w:rsidR="0014285A" w:rsidRPr="00F009BD">
        <w:rPr>
          <w:b/>
          <w:sz w:val="24"/>
          <w:szCs w:val="24"/>
          <w:u w:val="single"/>
        </w:rPr>
        <w:t>in</w:t>
      </w:r>
      <w:r w:rsidRPr="00F009BD">
        <w:rPr>
          <w:b/>
          <w:sz w:val="24"/>
          <w:szCs w:val="24"/>
          <w:u w:val="single"/>
        </w:rPr>
        <w:t xml:space="preserve"> Building Professional Learning Communities </w:t>
      </w:r>
    </w:p>
    <w:p w:rsidR="0051162A" w:rsidRDefault="00F009BD" w:rsidP="0028497E">
      <w:pPr>
        <w:shd w:val="clear" w:color="auto" w:fill="FFFFFF"/>
        <w:spacing w:after="60" w:line="240" w:lineRule="auto"/>
        <w:rPr>
          <w:rFonts w:eastAsia="Times New Roman" w:cstheme="minorHAnsi"/>
          <w:color w:val="222222"/>
          <w:sz w:val="24"/>
          <w:szCs w:val="24"/>
        </w:rPr>
      </w:pPr>
      <w:r>
        <w:rPr>
          <w:sz w:val="24"/>
          <w:szCs w:val="24"/>
        </w:rPr>
        <w:t>First and foremost, Canyon Elementa</w:t>
      </w:r>
      <w:r w:rsidR="0051162A">
        <w:rPr>
          <w:sz w:val="24"/>
          <w:szCs w:val="24"/>
        </w:rPr>
        <w:t>ry has actively encouraged PLC process</w:t>
      </w:r>
      <w:r>
        <w:rPr>
          <w:sz w:val="24"/>
          <w:szCs w:val="24"/>
        </w:rPr>
        <w:t xml:space="preserve"> in our school for the past seven year, and have seen increases in growth across all grade levels. </w:t>
      </w:r>
      <w:r w:rsidR="00127C09">
        <w:rPr>
          <w:sz w:val="24"/>
          <w:szCs w:val="24"/>
        </w:rPr>
        <w:t>As a school, we strive to reach all students and aid them in achieving their potential. Administration creates schedules that allow all grade levels to meet a minimum of hour each day. This allows teachers to review curriculum, build common assessments, discuss each student individually, and assess small group design.</w:t>
      </w:r>
      <w:r w:rsidR="0028497E" w:rsidRPr="0028497E">
        <w:rPr>
          <w:sz w:val="24"/>
          <w:szCs w:val="24"/>
        </w:rPr>
        <w:t xml:space="preserve"> </w:t>
      </w:r>
      <w:r w:rsidR="0028497E">
        <w:rPr>
          <w:sz w:val="24"/>
          <w:szCs w:val="24"/>
        </w:rPr>
        <w:t>Teacher’s follow a PLC set agenda which lists agreed upon norms and also lists SMART goals that were built at the beginning of the year.</w:t>
      </w:r>
      <w:r w:rsidR="0051162A">
        <w:rPr>
          <w:sz w:val="24"/>
          <w:szCs w:val="24"/>
        </w:rPr>
        <w:t xml:space="preserve"> Again, both SMART Goals and grade level, leadership, and specials PLC Norms are created new each year.</w:t>
      </w:r>
      <w:r w:rsidR="0028497E">
        <w:rPr>
          <w:sz w:val="24"/>
          <w:szCs w:val="24"/>
        </w:rPr>
        <w:t xml:space="preserve"> Emphasis for the meetings are placed on the four big questions</w:t>
      </w:r>
      <w:r w:rsidR="0028497E" w:rsidRPr="00127C09">
        <w:rPr>
          <w:rFonts w:cstheme="minorHAnsi"/>
          <w:sz w:val="24"/>
          <w:szCs w:val="24"/>
        </w:rPr>
        <w:t xml:space="preserve">: </w:t>
      </w:r>
      <w:r w:rsidR="0028497E" w:rsidRPr="00127C09">
        <w:rPr>
          <w:rFonts w:eastAsia="Times New Roman" w:cstheme="minorHAnsi"/>
          <w:color w:val="222222"/>
          <w:sz w:val="24"/>
          <w:szCs w:val="24"/>
        </w:rPr>
        <w:t xml:space="preserve">What do we expect our students to learn? How </w:t>
      </w:r>
      <w:r w:rsidR="0028497E" w:rsidRPr="00127C09">
        <w:rPr>
          <w:rFonts w:eastAsia="Times New Roman" w:cstheme="minorHAnsi"/>
          <w:color w:val="222222"/>
          <w:sz w:val="24"/>
          <w:szCs w:val="24"/>
        </w:rPr>
        <w:lastRenderedPageBreak/>
        <w:t>will we know they are learning? How will we respond when t</w:t>
      </w:r>
      <w:r w:rsidR="0028497E">
        <w:rPr>
          <w:rFonts w:eastAsia="Times New Roman" w:cstheme="minorHAnsi"/>
          <w:color w:val="222222"/>
          <w:sz w:val="24"/>
          <w:szCs w:val="24"/>
        </w:rPr>
        <w:t>hey don't learn</w:t>
      </w:r>
      <w:r w:rsidR="0028497E" w:rsidRPr="00127C09">
        <w:rPr>
          <w:rFonts w:eastAsia="Times New Roman" w:cstheme="minorHAnsi"/>
          <w:color w:val="222222"/>
          <w:sz w:val="24"/>
          <w:szCs w:val="24"/>
        </w:rPr>
        <w:t>?</w:t>
      </w:r>
      <w:r w:rsidR="0028497E">
        <w:rPr>
          <w:rFonts w:eastAsia="Times New Roman" w:cstheme="minorHAnsi"/>
          <w:color w:val="222222"/>
          <w:sz w:val="24"/>
          <w:szCs w:val="24"/>
        </w:rPr>
        <w:t xml:space="preserve"> </w:t>
      </w:r>
      <w:r w:rsidR="0028497E" w:rsidRPr="00127C09">
        <w:rPr>
          <w:rFonts w:eastAsia="Times New Roman" w:cstheme="minorHAnsi"/>
          <w:color w:val="222222"/>
          <w:sz w:val="24"/>
          <w:szCs w:val="24"/>
        </w:rPr>
        <w:t>How will we respond if they already know it</w:t>
      </w:r>
      <w:r w:rsidR="0028497E">
        <w:rPr>
          <w:rFonts w:eastAsia="Times New Roman" w:cstheme="minorHAnsi"/>
          <w:color w:val="222222"/>
          <w:sz w:val="24"/>
          <w:szCs w:val="24"/>
        </w:rPr>
        <w:t>?</w:t>
      </w:r>
      <w:r w:rsidR="00127C09">
        <w:rPr>
          <w:sz w:val="24"/>
          <w:szCs w:val="24"/>
        </w:rPr>
        <w:t xml:space="preserve"> During this time, teachers are also able to divide students by skill and discuss which teacher or para is best fit to teach this skill for optimum effectiveness and growth.</w:t>
      </w:r>
      <w:r w:rsidR="00127C09" w:rsidRPr="00127C09">
        <w:rPr>
          <w:rFonts w:eastAsia="Times New Roman" w:cstheme="minorHAnsi"/>
          <w:color w:val="222222"/>
          <w:sz w:val="24"/>
          <w:szCs w:val="24"/>
        </w:rPr>
        <w:t xml:space="preserve"> </w:t>
      </w:r>
    </w:p>
    <w:p w:rsidR="0051162A" w:rsidRDefault="0051162A" w:rsidP="0028497E">
      <w:pPr>
        <w:shd w:val="clear" w:color="auto" w:fill="FFFFFF"/>
        <w:spacing w:after="60" w:line="240" w:lineRule="auto"/>
        <w:rPr>
          <w:rFonts w:eastAsia="Times New Roman" w:cstheme="minorHAnsi"/>
          <w:color w:val="222222"/>
          <w:sz w:val="24"/>
          <w:szCs w:val="24"/>
        </w:rPr>
      </w:pPr>
    </w:p>
    <w:p w:rsidR="0051162A" w:rsidRDefault="0051162A" w:rsidP="0028497E">
      <w:pPr>
        <w:shd w:val="clear" w:color="auto" w:fill="FFFFFF"/>
        <w:spacing w:after="60" w:line="240" w:lineRule="auto"/>
        <w:rPr>
          <w:rFonts w:eastAsia="Times New Roman" w:cstheme="minorHAnsi"/>
          <w:color w:val="222222"/>
          <w:sz w:val="24"/>
          <w:szCs w:val="24"/>
        </w:rPr>
      </w:pPr>
      <w:r>
        <w:rPr>
          <w:rFonts w:eastAsia="Times New Roman" w:cstheme="minorHAnsi"/>
          <w:color w:val="222222"/>
          <w:sz w:val="24"/>
          <w:szCs w:val="24"/>
        </w:rPr>
        <w:t xml:space="preserve">Not only do our teachers meet daily, but Canyon grade level also meet monthly with all staff working with our students, including teachers, IF, para’s, SPED teachers, and school counselor to discuss grade level outcomes, test results, progress of small groups, and to address behavior concerns. In these meetings, the teachers have built an agenda to follow with norms agreed on by the meeting team. </w:t>
      </w:r>
    </w:p>
    <w:p w:rsidR="0028497E" w:rsidRDefault="0028497E" w:rsidP="0028497E">
      <w:pPr>
        <w:shd w:val="clear" w:color="auto" w:fill="FFFFFF"/>
        <w:spacing w:after="60" w:line="240" w:lineRule="auto"/>
        <w:rPr>
          <w:rFonts w:eastAsia="Times New Roman" w:cstheme="minorHAnsi"/>
          <w:color w:val="222222"/>
          <w:sz w:val="24"/>
          <w:szCs w:val="24"/>
        </w:rPr>
      </w:pPr>
    </w:p>
    <w:p w:rsidR="0028497E" w:rsidRDefault="0028497E" w:rsidP="0028497E">
      <w:pPr>
        <w:shd w:val="clear" w:color="auto" w:fill="FFFFFF"/>
        <w:spacing w:after="60" w:line="240" w:lineRule="auto"/>
        <w:rPr>
          <w:rFonts w:eastAsia="Times New Roman" w:cstheme="minorHAnsi"/>
          <w:color w:val="222222"/>
          <w:sz w:val="24"/>
          <w:szCs w:val="24"/>
        </w:rPr>
      </w:pPr>
      <w:r>
        <w:rPr>
          <w:rFonts w:eastAsia="Times New Roman" w:cstheme="minorHAnsi"/>
          <w:color w:val="222222"/>
          <w:sz w:val="24"/>
          <w:szCs w:val="24"/>
        </w:rPr>
        <w:t xml:space="preserve">Our specials teachers </w:t>
      </w:r>
      <w:r w:rsidR="0051162A">
        <w:rPr>
          <w:rFonts w:eastAsia="Times New Roman" w:cstheme="minorHAnsi"/>
          <w:color w:val="222222"/>
          <w:sz w:val="24"/>
          <w:szCs w:val="24"/>
        </w:rPr>
        <w:t>meet not only as their own team</w:t>
      </w:r>
      <w:r>
        <w:rPr>
          <w:rFonts w:eastAsia="Times New Roman" w:cstheme="minorHAnsi"/>
          <w:color w:val="222222"/>
          <w:sz w:val="24"/>
          <w:szCs w:val="24"/>
        </w:rPr>
        <w:t>, but also meet with other grades</w:t>
      </w:r>
      <w:r w:rsidR="00501AFA">
        <w:rPr>
          <w:rFonts w:eastAsia="Times New Roman" w:cstheme="minorHAnsi"/>
          <w:color w:val="222222"/>
          <w:sz w:val="24"/>
          <w:szCs w:val="24"/>
        </w:rPr>
        <w:t xml:space="preserve"> often to discuss ways to create cross-curricular </w:t>
      </w:r>
      <w:r>
        <w:rPr>
          <w:rFonts w:eastAsia="Times New Roman" w:cstheme="minorHAnsi"/>
          <w:color w:val="222222"/>
          <w:sz w:val="24"/>
          <w:szCs w:val="24"/>
        </w:rPr>
        <w:t xml:space="preserve">teaching, bringing math and reading into their art, music, and PE lessons. </w:t>
      </w:r>
    </w:p>
    <w:p w:rsidR="0028497E" w:rsidRPr="0028497E" w:rsidRDefault="0028497E" w:rsidP="0028497E">
      <w:pPr>
        <w:shd w:val="clear" w:color="auto" w:fill="FFFFFF"/>
        <w:spacing w:after="60" w:line="240" w:lineRule="auto"/>
        <w:rPr>
          <w:rFonts w:eastAsia="Times New Roman" w:cstheme="minorHAnsi"/>
          <w:color w:val="222222"/>
          <w:sz w:val="24"/>
          <w:szCs w:val="24"/>
        </w:rPr>
      </w:pPr>
    </w:p>
    <w:p w:rsidR="00127C09" w:rsidRDefault="00127C09" w:rsidP="00F61217">
      <w:pPr>
        <w:rPr>
          <w:sz w:val="24"/>
          <w:szCs w:val="24"/>
        </w:rPr>
      </w:pPr>
      <w:r>
        <w:rPr>
          <w:sz w:val="24"/>
          <w:szCs w:val="24"/>
        </w:rPr>
        <w:t>We meet as a</w:t>
      </w:r>
      <w:r w:rsidR="0051162A">
        <w:rPr>
          <w:sz w:val="24"/>
          <w:szCs w:val="24"/>
        </w:rPr>
        <w:t xml:space="preserve"> PLC</w:t>
      </w:r>
      <w:r>
        <w:rPr>
          <w:sz w:val="24"/>
          <w:szCs w:val="24"/>
        </w:rPr>
        <w:t xml:space="preserve"> leadership team approximately twice a month to discuss concerns of the school, progress being made, and identify avenues to incr</w:t>
      </w:r>
      <w:r w:rsidR="0070036A">
        <w:rPr>
          <w:sz w:val="24"/>
          <w:szCs w:val="24"/>
        </w:rPr>
        <w:t xml:space="preserve">ease our abilities as a school. The grade level </w:t>
      </w:r>
      <w:r>
        <w:rPr>
          <w:sz w:val="24"/>
          <w:szCs w:val="24"/>
        </w:rPr>
        <w:t>agendas are reviewed during this meeting as yet another way to mo</w:t>
      </w:r>
      <w:r w:rsidR="009121A5">
        <w:rPr>
          <w:sz w:val="24"/>
          <w:szCs w:val="24"/>
        </w:rPr>
        <w:t xml:space="preserve">nitor progress of our students and creates a way to check and maintain fidelity to the </w:t>
      </w:r>
      <w:r w:rsidR="0070036A">
        <w:rPr>
          <w:sz w:val="24"/>
          <w:szCs w:val="24"/>
        </w:rPr>
        <w:t xml:space="preserve">PLC </w:t>
      </w:r>
      <w:r w:rsidR="009121A5">
        <w:rPr>
          <w:sz w:val="24"/>
          <w:szCs w:val="24"/>
        </w:rPr>
        <w:t xml:space="preserve">process. </w:t>
      </w:r>
      <w:r w:rsidR="0051162A">
        <w:rPr>
          <w:sz w:val="24"/>
          <w:szCs w:val="24"/>
        </w:rPr>
        <w:t xml:space="preserve">During the year, the leadership PLC ensures that the school schedule is conducive for each team </w:t>
      </w:r>
      <w:r w:rsidR="0070036A">
        <w:rPr>
          <w:sz w:val="24"/>
          <w:szCs w:val="24"/>
        </w:rPr>
        <w:t>to meet</w:t>
      </w:r>
      <w:bookmarkStart w:id="0" w:name="_GoBack"/>
      <w:bookmarkEnd w:id="0"/>
      <w:r w:rsidR="0051162A">
        <w:rPr>
          <w:sz w:val="24"/>
          <w:szCs w:val="24"/>
        </w:rPr>
        <w:t xml:space="preserve"> daily for a minimum of one hour. </w:t>
      </w:r>
    </w:p>
    <w:p w:rsidR="0028497E" w:rsidRDefault="0028497E" w:rsidP="00F61217">
      <w:pPr>
        <w:rPr>
          <w:sz w:val="24"/>
          <w:szCs w:val="24"/>
        </w:rPr>
      </w:pPr>
      <w:r>
        <w:rPr>
          <w:sz w:val="24"/>
          <w:szCs w:val="24"/>
        </w:rPr>
        <w:t xml:space="preserve">Our school believe that bringing in parents is an increasingly important component to the success of our students. We access two avenues of parent cooperation, the first being our Build Leadership Team, where parents meet with teachers and administration to </w:t>
      </w:r>
      <w:r w:rsidR="00AD23AB">
        <w:rPr>
          <w:sz w:val="24"/>
          <w:szCs w:val="24"/>
        </w:rPr>
        <w:t>confer</w:t>
      </w:r>
      <w:r>
        <w:rPr>
          <w:sz w:val="24"/>
          <w:szCs w:val="24"/>
        </w:rPr>
        <w:t xml:space="preserve"> </w:t>
      </w:r>
      <w:r w:rsidR="00AD23AB">
        <w:rPr>
          <w:sz w:val="24"/>
          <w:szCs w:val="24"/>
        </w:rPr>
        <w:t xml:space="preserve">over building policy, ways to increase student academic motivation, and how to increase partnership between the school and the community. Secondly, parents are asked to be active participants in their students learning </w:t>
      </w:r>
      <w:r w:rsidR="0051162A">
        <w:rPr>
          <w:sz w:val="24"/>
          <w:szCs w:val="24"/>
        </w:rPr>
        <w:t xml:space="preserve">and behavior plans through collaborative </w:t>
      </w:r>
      <w:r w:rsidR="00AD23AB">
        <w:rPr>
          <w:sz w:val="24"/>
          <w:szCs w:val="24"/>
        </w:rPr>
        <w:t xml:space="preserve">meetings. As a school and community, we have both behavior and academic teams consisting on the homeroom teacher, school counselor, principal, SPED teacher, and administration that meeting on the parent’s student to address concerns and create intervention plans which are individualized to meet the student’s specific needs. These meetings occur frequently and can be initiated by any team member, with parents taking an imperative role as a team member.   </w:t>
      </w:r>
    </w:p>
    <w:p w:rsidR="00C17033" w:rsidRDefault="00C17033" w:rsidP="00F61217">
      <w:pPr>
        <w:rPr>
          <w:b/>
          <w:sz w:val="24"/>
          <w:szCs w:val="24"/>
          <w:u w:val="single"/>
        </w:rPr>
      </w:pPr>
      <w:r w:rsidRPr="00C17033">
        <w:rPr>
          <w:b/>
          <w:sz w:val="24"/>
          <w:szCs w:val="24"/>
          <w:u w:val="single"/>
        </w:rPr>
        <w:t>Effective Strategies</w:t>
      </w:r>
    </w:p>
    <w:p w:rsidR="00C17033" w:rsidRDefault="00C17033" w:rsidP="00F61217">
      <w:pPr>
        <w:rPr>
          <w:sz w:val="24"/>
          <w:szCs w:val="24"/>
        </w:rPr>
      </w:pPr>
      <w:r>
        <w:rPr>
          <w:sz w:val="24"/>
          <w:szCs w:val="24"/>
        </w:rPr>
        <w:t xml:space="preserve">As previously stated, we as a school maintain </w:t>
      </w:r>
      <w:r w:rsidR="009121A5">
        <w:rPr>
          <w:sz w:val="24"/>
          <w:szCs w:val="24"/>
        </w:rPr>
        <w:t>adherence</w:t>
      </w:r>
      <w:r>
        <w:rPr>
          <w:sz w:val="24"/>
          <w:szCs w:val="24"/>
        </w:rPr>
        <w:t xml:space="preserve"> to the four PLC questions when building our programs. Firstly, we expect all of our students to thrive and grow no matter where they are skill wise or academic level. We level our small groups by skills as well as level, keeping groups in a relatively low number to maximize our time with each student. Second, we have created common formative assessments in each grade level, allowing teachers to examine what is working and potential problem areas that can be improved upon. Thirdly, when </w:t>
      </w:r>
      <w:r>
        <w:rPr>
          <w:sz w:val="24"/>
          <w:szCs w:val="24"/>
        </w:rPr>
        <w:lastRenderedPageBreak/>
        <w:t xml:space="preserve">students are not learning, teacher’s identify which students are struggling in which skills, then create individualized intervention plans to meet that student’s needs. Finally, through differentiation </w:t>
      </w:r>
      <w:r w:rsidR="009121A5">
        <w:rPr>
          <w:sz w:val="24"/>
          <w:szCs w:val="24"/>
        </w:rPr>
        <w:t>and increased</w:t>
      </w:r>
      <w:r>
        <w:rPr>
          <w:sz w:val="24"/>
          <w:szCs w:val="24"/>
        </w:rPr>
        <w:t xml:space="preserve"> awareness, students are pushed in a rigorous curriculum that, as a district, we have built to create an environment where our highest learners can continue to grow. </w:t>
      </w:r>
    </w:p>
    <w:p w:rsidR="009121A5" w:rsidRDefault="009121A5" w:rsidP="00F61217">
      <w:pPr>
        <w:rPr>
          <w:sz w:val="24"/>
          <w:szCs w:val="24"/>
        </w:rPr>
      </w:pPr>
      <w:r>
        <w:rPr>
          <w:sz w:val="24"/>
          <w:szCs w:val="24"/>
        </w:rPr>
        <w:t xml:space="preserve">To celebrate our students when they grow, Canyon created the Ranger Buck store and </w:t>
      </w:r>
      <w:r w:rsidR="00EC3360">
        <w:rPr>
          <w:sz w:val="24"/>
          <w:szCs w:val="24"/>
        </w:rPr>
        <w:t>monthly</w:t>
      </w:r>
      <w:r>
        <w:rPr>
          <w:sz w:val="24"/>
          <w:szCs w:val="24"/>
        </w:rPr>
        <w:t xml:space="preserve"> celebration assemblies to reward students who are working diligently towards reaching their potential. Also, prior to each testing period teachers and students engage in fun activities that bring our school closer together. Last year, our librarian encouraged our students reading by offering up ticket to those who completed books. These tickets purchased the opportunity to throw pies at the teacher of their choice. While it was a sticky mess for those adults pied, it was an activity the students loved and brought joy into their reading. </w:t>
      </w:r>
    </w:p>
    <w:p w:rsidR="009121A5" w:rsidRDefault="009121A5" w:rsidP="00F61217">
      <w:pPr>
        <w:rPr>
          <w:sz w:val="24"/>
          <w:szCs w:val="24"/>
        </w:rPr>
      </w:pPr>
      <w:r>
        <w:rPr>
          <w:sz w:val="24"/>
          <w:szCs w:val="24"/>
        </w:rPr>
        <w:t xml:space="preserve">Over the past seven years, Canyon has </w:t>
      </w:r>
      <w:r w:rsidR="0051162A">
        <w:rPr>
          <w:sz w:val="24"/>
          <w:szCs w:val="24"/>
        </w:rPr>
        <w:t>enjoyed the fruits of what the PLC process has</w:t>
      </w:r>
      <w:r>
        <w:rPr>
          <w:sz w:val="24"/>
          <w:szCs w:val="24"/>
        </w:rPr>
        <w:t xml:space="preserve"> to offer. Building our program around </w:t>
      </w:r>
      <w:r w:rsidR="009873B5">
        <w:rPr>
          <w:sz w:val="24"/>
          <w:szCs w:val="24"/>
        </w:rPr>
        <w:t>our school’s</w:t>
      </w:r>
      <w:r w:rsidR="0051162A">
        <w:rPr>
          <w:sz w:val="24"/>
          <w:szCs w:val="24"/>
        </w:rPr>
        <w:t xml:space="preserve"> </w:t>
      </w:r>
      <w:r>
        <w:rPr>
          <w:sz w:val="24"/>
          <w:szCs w:val="24"/>
        </w:rPr>
        <w:t xml:space="preserve">PLC </w:t>
      </w:r>
      <w:r w:rsidR="0051162A">
        <w:rPr>
          <w:sz w:val="24"/>
          <w:szCs w:val="24"/>
        </w:rPr>
        <w:t xml:space="preserve">process </w:t>
      </w:r>
      <w:r>
        <w:rPr>
          <w:sz w:val="24"/>
          <w:szCs w:val="24"/>
        </w:rPr>
        <w:t xml:space="preserve">created an environment of trust, collaboration, and increasing comradery in all our staff. These benefits have directly attributed to the growth, learning, and achievement of all of our students. </w:t>
      </w:r>
      <w:r w:rsidR="003C23E4">
        <w:rPr>
          <w:sz w:val="24"/>
          <w:szCs w:val="24"/>
        </w:rPr>
        <w:t xml:space="preserve">We have seen the results and appreciate this opportunity to become part of the PLC Model School Community. </w:t>
      </w:r>
    </w:p>
    <w:p w:rsidR="008B018E" w:rsidRDefault="008B018E" w:rsidP="00F61217">
      <w:pPr>
        <w:rPr>
          <w:sz w:val="24"/>
          <w:szCs w:val="24"/>
        </w:rPr>
      </w:pPr>
    </w:p>
    <w:p w:rsidR="008B018E" w:rsidRDefault="008B018E" w:rsidP="00F61217">
      <w:pPr>
        <w:rPr>
          <w:sz w:val="24"/>
          <w:szCs w:val="24"/>
        </w:rPr>
      </w:pPr>
    </w:p>
    <w:p w:rsidR="008B018E" w:rsidRDefault="008B018E" w:rsidP="00F61217">
      <w:pPr>
        <w:rPr>
          <w:sz w:val="24"/>
          <w:szCs w:val="24"/>
        </w:rPr>
      </w:pPr>
    </w:p>
    <w:p w:rsidR="008B018E" w:rsidRDefault="008B018E" w:rsidP="00F61217">
      <w:pPr>
        <w:rPr>
          <w:sz w:val="24"/>
          <w:szCs w:val="24"/>
        </w:rPr>
      </w:pPr>
    </w:p>
    <w:p w:rsidR="008B018E" w:rsidRDefault="008B018E" w:rsidP="00F61217">
      <w:pPr>
        <w:rPr>
          <w:sz w:val="24"/>
          <w:szCs w:val="24"/>
        </w:rPr>
      </w:pPr>
    </w:p>
    <w:p w:rsidR="008B018E" w:rsidRDefault="008B018E" w:rsidP="00F61217">
      <w:pPr>
        <w:rPr>
          <w:sz w:val="24"/>
          <w:szCs w:val="24"/>
        </w:rPr>
      </w:pPr>
    </w:p>
    <w:p w:rsidR="008B018E" w:rsidRDefault="008B018E" w:rsidP="00F61217">
      <w:pPr>
        <w:rPr>
          <w:sz w:val="24"/>
          <w:szCs w:val="24"/>
        </w:rPr>
      </w:pPr>
    </w:p>
    <w:p w:rsidR="008B018E" w:rsidRDefault="008B018E" w:rsidP="00F61217">
      <w:pPr>
        <w:rPr>
          <w:sz w:val="24"/>
          <w:szCs w:val="24"/>
        </w:rPr>
      </w:pPr>
    </w:p>
    <w:p w:rsidR="008B018E" w:rsidRDefault="008B018E" w:rsidP="00F61217">
      <w:pPr>
        <w:rPr>
          <w:sz w:val="24"/>
          <w:szCs w:val="24"/>
        </w:rPr>
      </w:pPr>
    </w:p>
    <w:p w:rsidR="008B018E" w:rsidRDefault="008B018E" w:rsidP="00F61217">
      <w:pPr>
        <w:rPr>
          <w:sz w:val="24"/>
          <w:szCs w:val="24"/>
        </w:rPr>
      </w:pPr>
    </w:p>
    <w:p w:rsidR="008B018E" w:rsidRDefault="008B018E" w:rsidP="00F61217">
      <w:pPr>
        <w:rPr>
          <w:sz w:val="24"/>
          <w:szCs w:val="24"/>
        </w:rPr>
      </w:pPr>
    </w:p>
    <w:p w:rsidR="008B018E" w:rsidRDefault="008B018E" w:rsidP="00F61217">
      <w:pPr>
        <w:rPr>
          <w:sz w:val="24"/>
          <w:szCs w:val="24"/>
        </w:rPr>
      </w:pPr>
    </w:p>
    <w:p w:rsidR="008B018E" w:rsidRDefault="008B018E" w:rsidP="00F61217">
      <w:pPr>
        <w:rPr>
          <w:sz w:val="24"/>
          <w:szCs w:val="24"/>
        </w:rPr>
      </w:pPr>
    </w:p>
    <w:p w:rsidR="008B018E" w:rsidRDefault="008B018E" w:rsidP="00F61217">
      <w:pPr>
        <w:rPr>
          <w:sz w:val="24"/>
          <w:szCs w:val="24"/>
        </w:rPr>
      </w:pPr>
    </w:p>
    <w:p w:rsidR="008B018E" w:rsidRDefault="008B018E" w:rsidP="00F61217">
      <w:pPr>
        <w:rPr>
          <w:sz w:val="24"/>
          <w:szCs w:val="24"/>
        </w:rPr>
      </w:pPr>
    </w:p>
    <w:p w:rsidR="008B018E" w:rsidRDefault="008B018E" w:rsidP="00F61217">
      <w:pPr>
        <w:rPr>
          <w:sz w:val="24"/>
          <w:szCs w:val="24"/>
          <w:u w:val="single"/>
        </w:rPr>
      </w:pPr>
      <w:r w:rsidRPr="008B018E">
        <w:rPr>
          <w:sz w:val="24"/>
          <w:szCs w:val="24"/>
          <w:u w:val="single"/>
        </w:rPr>
        <w:lastRenderedPageBreak/>
        <w:t>References</w:t>
      </w:r>
    </w:p>
    <w:p w:rsidR="008B018E" w:rsidRDefault="008B018E" w:rsidP="00CE5435">
      <w:pPr>
        <w:ind w:left="720" w:hanging="720"/>
        <w:rPr>
          <w:color w:val="333333"/>
          <w:shd w:val="clear" w:color="auto" w:fill="FFFFFF"/>
        </w:rPr>
      </w:pPr>
      <w:r>
        <w:rPr>
          <w:color w:val="333333"/>
          <w:shd w:val="clear" w:color="auto" w:fill="FFFFFF"/>
        </w:rPr>
        <w:t xml:space="preserve">Martin, B. G. (2017). </w:t>
      </w:r>
      <w:r w:rsidR="00CE5435">
        <w:rPr>
          <w:i/>
          <w:color w:val="333333"/>
          <w:shd w:val="clear" w:color="auto" w:fill="FFFFFF"/>
        </w:rPr>
        <w:t xml:space="preserve">MTSS Implementation and School-Wide Reading Proficiency Analysis: A multiple Time Series Quasi-Experimental Study. </w:t>
      </w:r>
      <w:r>
        <w:rPr>
          <w:color w:val="333333"/>
          <w:shd w:val="clear" w:color="auto" w:fill="FFFFFF"/>
        </w:rPr>
        <w:t>North-Central University, Prescott Valley.</w:t>
      </w:r>
    </w:p>
    <w:p w:rsidR="00CE5435" w:rsidRDefault="00CE5435" w:rsidP="00F61217">
      <w:pPr>
        <w:rPr>
          <w:color w:val="333333"/>
          <w:shd w:val="clear" w:color="auto" w:fill="FFFFFF"/>
        </w:rPr>
      </w:pPr>
    </w:p>
    <w:p w:rsidR="00CE5435" w:rsidRPr="008B018E" w:rsidRDefault="00CE5435" w:rsidP="00F61217">
      <w:pPr>
        <w:rPr>
          <w:sz w:val="24"/>
          <w:szCs w:val="24"/>
          <w:u w:val="single"/>
        </w:rPr>
      </w:pPr>
    </w:p>
    <w:p w:rsidR="009121A5" w:rsidRPr="00C17033" w:rsidRDefault="009121A5" w:rsidP="00F61217">
      <w:pPr>
        <w:rPr>
          <w:sz w:val="24"/>
          <w:szCs w:val="24"/>
        </w:rPr>
      </w:pPr>
    </w:p>
    <w:p w:rsidR="0028497E" w:rsidRPr="00F009BD" w:rsidRDefault="0028497E" w:rsidP="00F61217">
      <w:pPr>
        <w:rPr>
          <w:sz w:val="24"/>
          <w:szCs w:val="24"/>
        </w:rPr>
      </w:pPr>
    </w:p>
    <w:p w:rsidR="003E4D14" w:rsidRPr="0036452F" w:rsidRDefault="003E4D14" w:rsidP="0036452F">
      <w:pPr>
        <w:rPr>
          <w:sz w:val="28"/>
          <w:szCs w:val="28"/>
          <w:u w:val="single"/>
        </w:rPr>
      </w:pPr>
    </w:p>
    <w:sectPr w:rsidR="003E4D14" w:rsidRPr="00364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309D"/>
    <w:multiLevelType w:val="multilevel"/>
    <w:tmpl w:val="750E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64C86"/>
    <w:multiLevelType w:val="hybridMultilevel"/>
    <w:tmpl w:val="194E149E"/>
    <w:lvl w:ilvl="0" w:tplc="320A23A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16"/>
    <w:rsid w:val="00017CE7"/>
    <w:rsid w:val="00036F33"/>
    <w:rsid w:val="000B49C2"/>
    <w:rsid w:val="00127C09"/>
    <w:rsid w:val="0014285A"/>
    <w:rsid w:val="001E2C0F"/>
    <w:rsid w:val="001F1DDB"/>
    <w:rsid w:val="002258A7"/>
    <w:rsid w:val="00265208"/>
    <w:rsid w:val="0027203C"/>
    <w:rsid w:val="0028497E"/>
    <w:rsid w:val="00326C68"/>
    <w:rsid w:val="0033517F"/>
    <w:rsid w:val="003531D1"/>
    <w:rsid w:val="0036452F"/>
    <w:rsid w:val="0036467F"/>
    <w:rsid w:val="003868CC"/>
    <w:rsid w:val="003C23E4"/>
    <w:rsid w:val="003C42A8"/>
    <w:rsid w:val="003E2944"/>
    <w:rsid w:val="003E4D14"/>
    <w:rsid w:val="00426B10"/>
    <w:rsid w:val="00470980"/>
    <w:rsid w:val="00501AFA"/>
    <w:rsid w:val="0051162A"/>
    <w:rsid w:val="005D4398"/>
    <w:rsid w:val="006919E8"/>
    <w:rsid w:val="0070036A"/>
    <w:rsid w:val="008B018E"/>
    <w:rsid w:val="009121A5"/>
    <w:rsid w:val="00962A9B"/>
    <w:rsid w:val="009873B5"/>
    <w:rsid w:val="00A916B2"/>
    <w:rsid w:val="00AC38BF"/>
    <w:rsid w:val="00AD23AB"/>
    <w:rsid w:val="00B02079"/>
    <w:rsid w:val="00B157D8"/>
    <w:rsid w:val="00B90ED6"/>
    <w:rsid w:val="00BE5DE1"/>
    <w:rsid w:val="00C17033"/>
    <w:rsid w:val="00CE5435"/>
    <w:rsid w:val="00D32C64"/>
    <w:rsid w:val="00D3712C"/>
    <w:rsid w:val="00D800FB"/>
    <w:rsid w:val="00DA09F9"/>
    <w:rsid w:val="00DB2017"/>
    <w:rsid w:val="00E96050"/>
    <w:rsid w:val="00EC3360"/>
    <w:rsid w:val="00ED33DF"/>
    <w:rsid w:val="00F009BD"/>
    <w:rsid w:val="00F47243"/>
    <w:rsid w:val="00F61217"/>
    <w:rsid w:val="00F7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52F9D2"/>
  <w15:chartTrackingRefBased/>
  <w15:docId w15:val="{5DB75AA4-D791-4F2F-868D-E2EAC86B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52F"/>
    <w:rPr>
      <w:color w:val="0563C1" w:themeColor="hyperlink"/>
      <w:u w:val="single"/>
    </w:rPr>
  </w:style>
  <w:style w:type="paragraph" w:styleId="ListParagraph">
    <w:name w:val="List Paragraph"/>
    <w:basedOn w:val="Normal"/>
    <w:uiPriority w:val="34"/>
    <w:qFormat/>
    <w:rsid w:val="003868CC"/>
    <w:pPr>
      <w:ind w:left="720"/>
      <w:contextualSpacing/>
    </w:pPr>
  </w:style>
  <w:style w:type="table" w:styleId="TableGrid">
    <w:name w:val="Table Grid"/>
    <w:basedOn w:val="TableNormal"/>
    <w:uiPriority w:val="39"/>
    <w:rsid w:val="003E4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5D4398"/>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sid w:val="005D439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5D4398"/>
    <w:pPr>
      <w:widowControl w:val="0"/>
      <w:autoSpaceDE w:val="0"/>
      <w:autoSpaceDN w:val="0"/>
      <w:spacing w:after="0" w:line="273" w:lineRule="exact"/>
      <w:ind w:left="229"/>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8797">
      <w:bodyDiv w:val="1"/>
      <w:marLeft w:val="0"/>
      <w:marRight w:val="0"/>
      <w:marTop w:val="0"/>
      <w:marBottom w:val="0"/>
      <w:divBdr>
        <w:top w:val="none" w:sz="0" w:space="0" w:color="auto"/>
        <w:left w:val="none" w:sz="0" w:space="0" w:color="auto"/>
        <w:bottom w:val="none" w:sz="0" w:space="0" w:color="auto"/>
        <w:right w:val="none" w:sz="0" w:space="0" w:color="auto"/>
      </w:divBdr>
    </w:div>
    <w:div w:id="894976319">
      <w:bodyDiv w:val="1"/>
      <w:marLeft w:val="0"/>
      <w:marRight w:val="0"/>
      <w:marTop w:val="0"/>
      <w:marBottom w:val="0"/>
      <w:divBdr>
        <w:top w:val="none" w:sz="0" w:space="0" w:color="auto"/>
        <w:left w:val="none" w:sz="0" w:space="0" w:color="auto"/>
        <w:bottom w:val="none" w:sz="0" w:space="0" w:color="auto"/>
        <w:right w:val="none" w:sz="0" w:space="0" w:color="auto"/>
      </w:divBdr>
    </w:div>
    <w:div w:id="940182314">
      <w:bodyDiv w:val="1"/>
      <w:marLeft w:val="0"/>
      <w:marRight w:val="0"/>
      <w:marTop w:val="0"/>
      <w:marBottom w:val="0"/>
      <w:divBdr>
        <w:top w:val="none" w:sz="0" w:space="0" w:color="auto"/>
        <w:left w:val="none" w:sz="0" w:space="0" w:color="auto"/>
        <w:bottom w:val="none" w:sz="0" w:space="0" w:color="auto"/>
        <w:right w:val="none" w:sz="0" w:space="0" w:color="auto"/>
      </w:divBdr>
    </w:div>
    <w:div w:id="1085999105">
      <w:bodyDiv w:val="1"/>
      <w:marLeft w:val="0"/>
      <w:marRight w:val="0"/>
      <w:marTop w:val="0"/>
      <w:marBottom w:val="0"/>
      <w:divBdr>
        <w:top w:val="none" w:sz="0" w:space="0" w:color="auto"/>
        <w:left w:val="none" w:sz="0" w:space="0" w:color="auto"/>
        <w:bottom w:val="none" w:sz="0" w:space="0" w:color="auto"/>
        <w:right w:val="none" w:sz="0" w:space="0" w:color="auto"/>
      </w:divBdr>
    </w:div>
    <w:div w:id="1288467436">
      <w:bodyDiv w:val="1"/>
      <w:marLeft w:val="0"/>
      <w:marRight w:val="0"/>
      <w:marTop w:val="0"/>
      <w:marBottom w:val="0"/>
      <w:divBdr>
        <w:top w:val="none" w:sz="0" w:space="0" w:color="auto"/>
        <w:left w:val="none" w:sz="0" w:space="0" w:color="auto"/>
        <w:bottom w:val="none" w:sz="0" w:space="0" w:color="auto"/>
        <w:right w:val="none" w:sz="0" w:space="0" w:color="auto"/>
      </w:divBdr>
    </w:div>
    <w:div w:id="18924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bmeyer@rangers1.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8733</TotalTime>
  <Pages>8</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Benson</dc:creator>
  <cp:keywords/>
  <dc:description/>
  <cp:lastModifiedBy>Jennifer Benson</cp:lastModifiedBy>
  <cp:revision>4</cp:revision>
  <dcterms:created xsi:type="dcterms:W3CDTF">2019-11-15T18:03:00Z</dcterms:created>
  <dcterms:modified xsi:type="dcterms:W3CDTF">2020-01-06T18:24:00Z</dcterms:modified>
</cp:coreProperties>
</file>