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71" w:rsidRDefault="00F172AC">
      <w:r>
        <w:t>Dear Evidence of Effectiveness Committee,</w:t>
      </w:r>
    </w:p>
    <w:p w:rsidR="00F172AC" w:rsidRDefault="00F172AC">
      <w:r>
        <w:t>Thank you for your response to Highland Christian School’s application for model PLC status.</w:t>
      </w:r>
      <w:r w:rsidR="008D69C1">
        <w:t xml:space="preserve">  Here is additional information to support our application.</w:t>
      </w:r>
      <w:bookmarkStart w:id="0" w:name="_GoBack"/>
      <w:bookmarkEnd w:id="0"/>
    </w:p>
    <w:p w:rsidR="00F172AC" w:rsidRDefault="00F172AC">
      <w:r>
        <w:t>In the on-line application I have uploaded samples of unwrapped standards and the common formative assessments teachers use.  Teachers meet in weekly collaboration meetings to reflect on results and make adjustments to practices.  Yesterday I met with a 7</w:t>
      </w:r>
      <w:r w:rsidRPr="00F172AC">
        <w:rPr>
          <w:vertAlign w:val="superscript"/>
        </w:rPr>
        <w:t>th</w:t>
      </w:r>
      <w:r>
        <w:t xml:space="preserve"> grade math teacher.  Her students were struggling with a geometry concept so she observed the other 7</w:t>
      </w:r>
      <w:r w:rsidRPr="00F172AC">
        <w:rPr>
          <w:vertAlign w:val="superscript"/>
        </w:rPr>
        <w:t>th</w:t>
      </w:r>
      <w:r>
        <w:t xml:space="preserve"> grade teacher teaching the concept.  She saw how their explanations differed and will be making adjustments to her own instruction.  Frankly, while I do hear the same conversations about other subjects, it is more frequently heard with regard to math instruction than to other subjects.  Our school </w:t>
      </w:r>
      <w:proofErr w:type="gramStart"/>
      <w:r>
        <w:t>uses  Everyday</w:t>
      </w:r>
      <w:proofErr w:type="gramEnd"/>
      <w:r>
        <w:t xml:space="preserve"> Learning for math.  Frida</w:t>
      </w:r>
      <w:r w:rsidR="00C274A9">
        <w:t>y is usually a math game day.  After collaborating on student learning, t</w:t>
      </w:r>
      <w:r>
        <w:t>eams of teachers use the opportunity for flexible grouping of both classes to provide interventions for students needing additional time and attention.</w:t>
      </w:r>
    </w:p>
    <w:p w:rsidR="008F6BBB" w:rsidRDefault="008F6BBB">
      <w:r>
        <w:t>You</w:t>
      </w:r>
      <w:r w:rsidR="00D43F3E">
        <w:t xml:space="preserve"> had asked about achievement data for students below 3</w:t>
      </w:r>
      <w:r w:rsidR="00D43F3E" w:rsidRPr="00D43F3E">
        <w:rPr>
          <w:vertAlign w:val="superscript"/>
        </w:rPr>
        <w:t>rd</w:t>
      </w:r>
      <w:r w:rsidR="00D43F3E">
        <w:t xml:space="preserve"> Grade as they do not participate in the state testing program.  I looked to our </w:t>
      </w:r>
      <w:r w:rsidR="00D43F3E" w:rsidRPr="00D43F3E">
        <w:rPr>
          <w:b/>
          <w:u w:val="single"/>
        </w:rPr>
        <w:t>median RIT</w:t>
      </w:r>
      <w:r w:rsidR="00D43F3E">
        <w:t xml:space="preserve"> NWEA MAP scores.  Below you will find scores by grade in two three year bands: 2012-2015 and 2015-2018.  I grouped the years this way because a) with our small sample size, roughly 40-45 students per grade, each year can be very different and b) during the years 2012-2015 data was collected but not used; in the years 2015-2018 we studied and used the data in collaborative teams.  The data shows a steady growth in achievement when these two groups of data are compared.</w:t>
      </w:r>
    </w:p>
    <w:p w:rsidR="00D43F3E" w:rsidRPr="00D43F3E" w:rsidRDefault="00D43F3E" w:rsidP="00D43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D43F3E" w:rsidTr="00D43F3E">
        <w:tc>
          <w:tcPr>
            <w:tcW w:w="957" w:type="dxa"/>
          </w:tcPr>
          <w:p w:rsidR="00D43F3E" w:rsidRDefault="00D43F3E" w:rsidP="00D43F3E">
            <w:pPr>
              <w:jc w:val="center"/>
            </w:pPr>
          </w:p>
        </w:tc>
        <w:tc>
          <w:tcPr>
            <w:tcW w:w="957" w:type="dxa"/>
          </w:tcPr>
          <w:p w:rsidR="00D43F3E" w:rsidRDefault="00D43F3E" w:rsidP="00D43F3E">
            <w:pPr>
              <w:jc w:val="center"/>
            </w:pPr>
            <w:r>
              <w:t>K</w:t>
            </w:r>
          </w:p>
        </w:tc>
        <w:tc>
          <w:tcPr>
            <w:tcW w:w="957" w:type="dxa"/>
          </w:tcPr>
          <w:p w:rsidR="00D43F3E" w:rsidRDefault="00D43F3E" w:rsidP="00D43F3E">
            <w:pPr>
              <w:jc w:val="center"/>
            </w:pPr>
            <w:r>
              <w:t>1</w:t>
            </w:r>
            <w:r w:rsidRPr="00D43F3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957" w:type="dxa"/>
          </w:tcPr>
          <w:p w:rsidR="00D43F3E" w:rsidRDefault="00D43F3E" w:rsidP="00D43F3E">
            <w:pPr>
              <w:jc w:val="center"/>
            </w:pPr>
            <w:r>
              <w:t>2</w:t>
            </w:r>
            <w:r w:rsidRPr="00D43F3E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958" w:type="dxa"/>
          </w:tcPr>
          <w:p w:rsidR="00D43F3E" w:rsidRDefault="00D43F3E" w:rsidP="00D43F3E">
            <w:pPr>
              <w:jc w:val="center"/>
            </w:pPr>
            <w:r>
              <w:t>3</w:t>
            </w:r>
            <w:r w:rsidRPr="00D43F3E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958" w:type="dxa"/>
          </w:tcPr>
          <w:p w:rsidR="00D43F3E" w:rsidRDefault="00D43F3E" w:rsidP="00D43F3E">
            <w:pPr>
              <w:jc w:val="center"/>
            </w:pPr>
            <w:r>
              <w:t>4</w:t>
            </w:r>
            <w:r w:rsidRPr="00D43F3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58" w:type="dxa"/>
          </w:tcPr>
          <w:p w:rsidR="00D43F3E" w:rsidRDefault="00D43F3E" w:rsidP="00D43F3E">
            <w:pPr>
              <w:jc w:val="center"/>
            </w:pPr>
            <w:r>
              <w:t>5</w:t>
            </w:r>
            <w:r w:rsidRPr="00D43F3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58" w:type="dxa"/>
          </w:tcPr>
          <w:p w:rsidR="00D43F3E" w:rsidRDefault="00D43F3E" w:rsidP="00D43F3E">
            <w:pPr>
              <w:jc w:val="center"/>
            </w:pPr>
            <w:r>
              <w:t>6</w:t>
            </w:r>
            <w:r w:rsidRPr="00D43F3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58" w:type="dxa"/>
          </w:tcPr>
          <w:p w:rsidR="00D43F3E" w:rsidRDefault="00D43F3E" w:rsidP="00D43F3E">
            <w:pPr>
              <w:jc w:val="center"/>
            </w:pPr>
            <w:r>
              <w:t>7</w:t>
            </w:r>
            <w:r w:rsidRPr="00D43F3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58" w:type="dxa"/>
          </w:tcPr>
          <w:p w:rsidR="00D43F3E" w:rsidRDefault="00D43F3E" w:rsidP="00D43F3E">
            <w:pPr>
              <w:jc w:val="center"/>
            </w:pPr>
            <w:r>
              <w:t>8</w:t>
            </w:r>
            <w:r w:rsidRPr="00D43F3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D43F3E" w:rsidTr="00D43F3E">
        <w:tc>
          <w:tcPr>
            <w:tcW w:w="957" w:type="dxa"/>
          </w:tcPr>
          <w:p w:rsidR="00D43F3E" w:rsidRDefault="00D43F3E" w:rsidP="00D43F3E">
            <w:pPr>
              <w:jc w:val="center"/>
            </w:pPr>
            <w:r>
              <w:t xml:space="preserve">2012-15 </w:t>
            </w:r>
          </w:p>
        </w:tc>
        <w:tc>
          <w:tcPr>
            <w:tcW w:w="957" w:type="dxa"/>
          </w:tcPr>
          <w:p w:rsidR="00D43F3E" w:rsidRDefault="00D43F3E" w:rsidP="00D43F3E">
            <w:pPr>
              <w:jc w:val="center"/>
            </w:pPr>
            <w:r>
              <w:t>169</w:t>
            </w:r>
          </w:p>
        </w:tc>
        <w:tc>
          <w:tcPr>
            <w:tcW w:w="957" w:type="dxa"/>
          </w:tcPr>
          <w:p w:rsidR="00D43F3E" w:rsidRDefault="00D43F3E" w:rsidP="00D43F3E">
            <w:pPr>
              <w:jc w:val="center"/>
            </w:pPr>
            <w:r>
              <w:t>187</w:t>
            </w:r>
          </w:p>
        </w:tc>
        <w:tc>
          <w:tcPr>
            <w:tcW w:w="957" w:type="dxa"/>
          </w:tcPr>
          <w:p w:rsidR="00D43F3E" w:rsidRDefault="00D43F3E" w:rsidP="00D43F3E">
            <w:pPr>
              <w:jc w:val="center"/>
            </w:pPr>
            <w:r>
              <w:t>193</w:t>
            </w:r>
          </w:p>
        </w:tc>
        <w:tc>
          <w:tcPr>
            <w:tcW w:w="958" w:type="dxa"/>
          </w:tcPr>
          <w:p w:rsidR="00D43F3E" w:rsidRDefault="00D43F3E" w:rsidP="00D43F3E">
            <w:pPr>
              <w:jc w:val="center"/>
            </w:pPr>
            <w:r>
              <w:t>202</w:t>
            </w:r>
          </w:p>
        </w:tc>
        <w:tc>
          <w:tcPr>
            <w:tcW w:w="958" w:type="dxa"/>
          </w:tcPr>
          <w:p w:rsidR="00D43F3E" w:rsidRDefault="00D43F3E" w:rsidP="00D43F3E">
            <w:pPr>
              <w:jc w:val="center"/>
            </w:pPr>
            <w:r>
              <w:t>212</w:t>
            </w:r>
          </w:p>
        </w:tc>
        <w:tc>
          <w:tcPr>
            <w:tcW w:w="958" w:type="dxa"/>
          </w:tcPr>
          <w:p w:rsidR="00D43F3E" w:rsidRDefault="00D43F3E" w:rsidP="00D43F3E">
            <w:pPr>
              <w:jc w:val="center"/>
            </w:pPr>
            <w:r>
              <w:t>222</w:t>
            </w:r>
          </w:p>
        </w:tc>
        <w:tc>
          <w:tcPr>
            <w:tcW w:w="958" w:type="dxa"/>
          </w:tcPr>
          <w:p w:rsidR="00D43F3E" w:rsidRDefault="00D43F3E" w:rsidP="00D43F3E">
            <w:pPr>
              <w:jc w:val="center"/>
            </w:pPr>
            <w:r>
              <w:t>227</w:t>
            </w:r>
          </w:p>
        </w:tc>
        <w:tc>
          <w:tcPr>
            <w:tcW w:w="958" w:type="dxa"/>
          </w:tcPr>
          <w:p w:rsidR="00D43F3E" w:rsidRDefault="00D43F3E" w:rsidP="00D43F3E">
            <w:pPr>
              <w:jc w:val="center"/>
            </w:pPr>
            <w:r>
              <w:t>232</w:t>
            </w:r>
          </w:p>
        </w:tc>
        <w:tc>
          <w:tcPr>
            <w:tcW w:w="958" w:type="dxa"/>
          </w:tcPr>
          <w:p w:rsidR="00D43F3E" w:rsidRDefault="00D43F3E" w:rsidP="00D43F3E">
            <w:pPr>
              <w:jc w:val="center"/>
            </w:pPr>
            <w:r>
              <w:t>237</w:t>
            </w:r>
          </w:p>
        </w:tc>
      </w:tr>
      <w:tr w:rsidR="00D43F3E" w:rsidTr="00D43F3E">
        <w:tc>
          <w:tcPr>
            <w:tcW w:w="957" w:type="dxa"/>
          </w:tcPr>
          <w:p w:rsidR="00D43F3E" w:rsidRDefault="00D43F3E" w:rsidP="00D43F3E">
            <w:pPr>
              <w:jc w:val="center"/>
            </w:pPr>
            <w:r>
              <w:t>2015-18</w:t>
            </w:r>
          </w:p>
        </w:tc>
        <w:tc>
          <w:tcPr>
            <w:tcW w:w="957" w:type="dxa"/>
          </w:tcPr>
          <w:p w:rsidR="00D43F3E" w:rsidRDefault="00D43F3E" w:rsidP="00D43F3E">
            <w:pPr>
              <w:jc w:val="center"/>
            </w:pPr>
            <w:r>
              <w:t>174</w:t>
            </w:r>
          </w:p>
        </w:tc>
        <w:tc>
          <w:tcPr>
            <w:tcW w:w="957" w:type="dxa"/>
          </w:tcPr>
          <w:p w:rsidR="00D43F3E" w:rsidRDefault="00D43F3E" w:rsidP="00D43F3E">
            <w:pPr>
              <w:jc w:val="center"/>
            </w:pPr>
            <w:r>
              <w:t>194</w:t>
            </w:r>
          </w:p>
        </w:tc>
        <w:tc>
          <w:tcPr>
            <w:tcW w:w="957" w:type="dxa"/>
          </w:tcPr>
          <w:p w:rsidR="00D43F3E" w:rsidRDefault="00D43F3E" w:rsidP="00D43F3E">
            <w:pPr>
              <w:jc w:val="center"/>
            </w:pPr>
            <w:r>
              <w:t>196</w:t>
            </w:r>
          </w:p>
        </w:tc>
        <w:tc>
          <w:tcPr>
            <w:tcW w:w="958" w:type="dxa"/>
          </w:tcPr>
          <w:p w:rsidR="00D43F3E" w:rsidRDefault="00D43F3E" w:rsidP="00D43F3E">
            <w:pPr>
              <w:jc w:val="center"/>
            </w:pPr>
            <w:r>
              <w:t>207</w:t>
            </w:r>
          </w:p>
        </w:tc>
        <w:tc>
          <w:tcPr>
            <w:tcW w:w="958" w:type="dxa"/>
          </w:tcPr>
          <w:p w:rsidR="00D43F3E" w:rsidRDefault="00D43F3E" w:rsidP="00D43F3E">
            <w:pPr>
              <w:jc w:val="center"/>
            </w:pPr>
            <w:r>
              <w:t>217</w:t>
            </w:r>
          </w:p>
        </w:tc>
        <w:tc>
          <w:tcPr>
            <w:tcW w:w="958" w:type="dxa"/>
          </w:tcPr>
          <w:p w:rsidR="00D43F3E" w:rsidRDefault="00D43F3E" w:rsidP="00D43F3E">
            <w:pPr>
              <w:jc w:val="center"/>
            </w:pPr>
            <w:r>
              <w:t>228</w:t>
            </w:r>
          </w:p>
        </w:tc>
        <w:tc>
          <w:tcPr>
            <w:tcW w:w="958" w:type="dxa"/>
          </w:tcPr>
          <w:p w:rsidR="00D43F3E" w:rsidRDefault="00D43F3E" w:rsidP="00D43F3E">
            <w:pPr>
              <w:jc w:val="center"/>
            </w:pPr>
            <w:r>
              <w:t>233</w:t>
            </w:r>
          </w:p>
        </w:tc>
        <w:tc>
          <w:tcPr>
            <w:tcW w:w="958" w:type="dxa"/>
          </w:tcPr>
          <w:p w:rsidR="00D43F3E" w:rsidRDefault="00D43F3E" w:rsidP="00D43F3E">
            <w:pPr>
              <w:jc w:val="center"/>
            </w:pPr>
            <w:r>
              <w:t>238</w:t>
            </w:r>
          </w:p>
        </w:tc>
        <w:tc>
          <w:tcPr>
            <w:tcW w:w="958" w:type="dxa"/>
          </w:tcPr>
          <w:p w:rsidR="00D43F3E" w:rsidRDefault="00D43F3E" w:rsidP="00D43F3E">
            <w:pPr>
              <w:jc w:val="center"/>
            </w:pPr>
            <w:r>
              <w:t>231</w:t>
            </w:r>
          </w:p>
        </w:tc>
      </w:tr>
    </w:tbl>
    <w:p w:rsidR="00D43F3E" w:rsidRDefault="00D43F3E" w:rsidP="00D43F3E">
      <w:pPr>
        <w:jc w:val="center"/>
      </w:pPr>
    </w:p>
    <w:p w:rsidR="00D43F3E" w:rsidRDefault="00D43F3E" w:rsidP="00D43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D43F3E" w:rsidTr="00F04FB3">
        <w:tc>
          <w:tcPr>
            <w:tcW w:w="957" w:type="dxa"/>
          </w:tcPr>
          <w:p w:rsidR="00D43F3E" w:rsidRDefault="00D43F3E" w:rsidP="00F04FB3">
            <w:pPr>
              <w:jc w:val="center"/>
            </w:pPr>
          </w:p>
        </w:tc>
        <w:tc>
          <w:tcPr>
            <w:tcW w:w="957" w:type="dxa"/>
          </w:tcPr>
          <w:p w:rsidR="00D43F3E" w:rsidRDefault="00D43F3E" w:rsidP="00F04FB3">
            <w:pPr>
              <w:jc w:val="center"/>
            </w:pPr>
            <w:r>
              <w:t>K</w:t>
            </w:r>
          </w:p>
        </w:tc>
        <w:tc>
          <w:tcPr>
            <w:tcW w:w="957" w:type="dxa"/>
          </w:tcPr>
          <w:p w:rsidR="00D43F3E" w:rsidRDefault="00D43F3E" w:rsidP="00F04FB3">
            <w:pPr>
              <w:jc w:val="center"/>
            </w:pPr>
            <w:r>
              <w:t>1</w:t>
            </w:r>
            <w:r w:rsidRPr="00D43F3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957" w:type="dxa"/>
          </w:tcPr>
          <w:p w:rsidR="00D43F3E" w:rsidRDefault="00D43F3E" w:rsidP="00F04FB3">
            <w:pPr>
              <w:jc w:val="center"/>
            </w:pPr>
            <w:r>
              <w:t>2</w:t>
            </w:r>
            <w:r w:rsidRPr="00D43F3E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958" w:type="dxa"/>
          </w:tcPr>
          <w:p w:rsidR="00D43F3E" w:rsidRDefault="00D43F3E" w:rsidP="00F04FB3">
            <w:pPr>
              <w:jc w:val="center"/>
            </w:pPr>
            <w:r>
              <w:t>3</w:t>
            </w:r>
            <w:r w:rsidRPr="00D43F3E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958" w:type="dxa"/>
          </w:tcPr>
          <w:p w:rsidR="00D43F3E" w:rsidRDefault="00D43F3E" w:rsidP="00F04FB3">
            <w:pPr>
              <w:jc w:val="center"/>
            </w:pPr>
            <w:r>
              <w:t>4</w:t>
            </w:r>
            <w:r w:rsidRPr="00D43F3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58" w:type="dxa"/>
          </w:tcPr>
          <w:p w:rsidR="00D43F3E" w:rsidRDefault="00D43F3E" w:rsidP="00F04FB3">
            <w:pPr>
              <w:jc w:val="center"/>
            </w:pPr>
            <w:r>
              <w:t>5</w:t>
            </w:r>
            <w:r w:rsidRPr="00D43F3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58" w:type="dxa"/>
          </w:tcPr>
          <w:p w:rsidR="00D43F3E" w:rsidRDefault="00D43F3E" w:rsidP="00F04FB3">
            <w:pPr>
              <w:jc w:val="center"/>
            </w:pPr>
            <w:r>
              <w:t>6</w:t>
            </w:r>
            <w:r w:rsidRPr="00D43F3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58" w:type="dxa"/>
          </w:tcPr>
          <w:p w:rsidR="00D43F3E" w:rsidRDefault="00D43F3E" w:rsidP="00F04FB3">
            <w:pPr>
              <w:jc w:val="center"/>
            </w:pPr>
            <w:r>
              <w:t>7</w:t>
            </w:r>
            <w:r w:rsidRPr="00D43F3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58" w:type="dxa"/>
          </w:tcPr>
          <w:p w:rsidR="00D43F3E" w:rsidRDefault="00D43F3E" w:rsidP="00F04FB3">
            <w:pPr>
              <w:jc w:val="center"/>
            </w:pPr>
            <w:r>
              <w:t>8</w:t>
            </w:r>
            <w:r w:rsidRPr="00D43F3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D43F3E" w:rsidTr="00F04FB3">
        <w:tc>
          <w:tcPr>
            <w:tcW w:w="957" w:type="dxa"/>
          </w:tcPr>
          <w:p w:rsidR="00D43F3E" w:rsidRDefault="00D43F3E" w:rsidP="00F04FB3">
            <w:pPr>
              <w:jc w:val="center"/>
            </w:pPr>
            <w:r>
              <w:t>2012-15</w:t>
            </w:r>
          </w:p>
        </w:tc>
        <w:tc>
          <w:tcPr>
            <w:tcW w:w="957" w:type="dxa"/>
          </w:tcPr>
          <w:p w:rsidR="00D43F3E" w:rsidRDefault="00D43F3E" w:rsidP="00F04FB3">
            <w:pPr>
              <w:jc w:val="center"/>
            </w:pPr>
            <w:r>
              <w:t>167</w:t>
            </w:r>
          </w:p>
        </w:tc>
        <w:tc>
          <w:tcPr>
            <w:tcW w:w="957" w:type="dxa"/>
          </w:tcPr>
          <w:p w:rsidR="00D43F3E" w:rsidRDefault="00D43F3E" w:rsidP="00F04FB3">
            <w:pPr>
              <w:jc w:val="center"/>
            </w:pPr>
            <w:r>
              <w:t>188</w:t>
            </w:r>
          </w:p>
        </w:tc>
        <w:tc>
          <w:tcPr>
            <w:tcW w:w="957" w:type="dxa"/>
          </w:tcPr>
          <w:p w:rsidR="00D43F3E" w:rsidRDefault="00D43F3E" w:rsidP="00F04FB3">
            <w:pPr>
              <w:jc w:val="center"/>
            </w:pPr>
            <w:r>
              <w:t>196</w:t>
            </w:r>
          </w:p>
        </w:tc>
        <w:tc>
          <w:tcPr>
            <w:tcW w:w="958" w:type="dxa"/>
          </w:tcPr>
          <w:p w:rsidR="00D43F3E" w:rsidRDefault="00D43F3E" w:rsidP="00F04FB3">
            <w:pPr>
              <w:jc w:val="center"/>
            </w:pPr>
            <w:r>
              <w:t>203</w:t>
            </w:r>
          </w:p>
        </w:tc>
        <w:tc>
          <w:tcPr>
            <w:tcW w:w="958" w:type="dxa"/>
          </w:tcPr>
          <w:p w:rsidR="00D43F3E" w:rsidRDefault="00D43F3E" w:rsidP="00F04FB3">
            <w:pPr>
              <w:jc w:val="center"/>
            </w:pPr>
            <w:r>
              <w:t>209</w:t>
            </w:r>
          </w:p>
        </w:tc>
        <w:tc>
          <w:tcPr>
            <w:tcW w:w="958" w:type="dxa"/>
          </w:tcPr>
          <w:p w:rsidR="00D43F3E" w:rsidRDefault="00D43F3E" w:rsidP="00F04FB3">
            <w:pPr>
              <w:jc w:val="center"/>
            </w:pPr>
            <w:r>
              <w:t>214</w:t>
            </w:r>
          </w:p>
        </w:tc>
        <w:tc>
          <w:tcPr>
            <w:tcW w:w="958" w:type="dxa"/>
          </w:tcPr>
          <w:p w:rsidR="00D43F3E" w:rsidRDefault="00D43F3E" w:rsidP="00F04FB3">
            <w:pPr>
              <w:jc w:val="center"/>
            </w:pPr>
            <w:r>
              <w:t>218</w:t>
            </w:r>
          </w:p>
        </w:tc>
        <w:tc>
          <w:tcPr>
            <w:tcW w:w="958" w:type="dxa"/>
          </w:tcPr>
          <w:p w:rsidR="00D43F3E" w:rsidRDefault="00D43F3E" w:rsidP="00F04FB3">
            <w:pPr>
              <w:jc w:val="center"/>
            </w:pPr>
            <w:r>
              <w:t>221</w:t>
            </w:r>
          </w:p>
        </w:tc>
        <w:tc>
          <w:tcPr>
            <w:tcW w:w="958" w:type="dxa"/>
          </w:tcPr>
          <w:p w:rsidR="00D43F3E" w:rsidRDefault="00D43F3E" w:rsidP="00F04FB3">
            <w:pPr>
              <w:jc w:val="center"/>
            </w:pPr>
            <w:r>
              <w:t>224</w:t>
            </w:r>
          </w:p>
        </w:tc>
      </w:tr>
      <w:tr w:rsidR="00D43F3E" w:rsidTr="00F04FB3">
        <w:tc>
          <w:tcPr>
            <w:tcW w:w="957" w:type="dxa"/>
          </w:tcPr>
          <w:p w:rsidR="00D43F3E" w:rsidRDefault="00D43F3E" w:rsidP="00F04FB3">
            <w:pPr>
              <w:jc w:val="center"/>
            </w:pPr>
            <w:r>
              <w:t>2015-18</w:t>
            </w:r>
          </w:p>
        </w:tc>
        <w:tc>
          <w:tcPr>
            <w:tcW w:w="957" w:type="dxa"/>
          </w:tcPr>
          <w:p w:rsidR="00D43F3E" w:rsidRDefault="00D43F3E" w:rsidP="00F04FB3">
            <w:pPr>
              <w:jc w:val="center"/>
            </w:pPr>
            <w:r>
              <w:t>173</w:t>
            </w:r>
          </w:p>
        </w:tc>
        <w:tc>
          <w:tcPr>
            <w:tcW w:w="957" w:type="dxa"/>
          </w:tcPr>
          <w:p w:rsidR="00D43F3E" w:rsidRDefault="00D43F3E" w:rsidP="00F04FB3">
            <w:pPr>
              <w:jc w:val="center"/>
            </w:pPr>
            <w:r>
              <w:t>193</w:t>
            </w:r>
          </w:p>
        </w:tc>
        <w:tc>
          <w:tcPr>
            <w:tcW w:w="957" w:type="dxa"/>
          </w:tcPr>
          <w:p w:rsidR="00D43F3E" w:rsidRDefault="00D43F3E" w:rsidP="00F04FB3">
            <w:pPr>
              <w:jc w:val="center"/>
            </w:pPr>
            <w:r>
              <w:t>198</w:t>
            </w:r>
          </w:p>
        </w:tc>
        <w:tc>
          <w:tcPr>
            <w:tcW w:w="958" w:type="dxa"/>
          </w:tcPr>
          <w:p w:rsidR="00D43F3E" w:rsidRDefault="00D43F3E" w:rsidP="00F04FB3">
            <w:pPr>
              <w:jc w:val="center"/>
            </w:pPr>
            <w:r>
              <w:t>207</w:t>
            </w:r>
          </w:p>
        </w:tc>
        <w:tc>
          <w:tcPr>
            <w:tcW w:w="958" w:type="dxa"/>
          </w:tcPr>
          <w:p w:rsidR="00D43F3E" w:rsidRDefault="00D43F3E" w:rsidP="00F04FB3">
            <w:pPr>
              <w:jc w:val="center"/>
            </w:pPr>
            <w:r>
              <w:t>210</w:t>
            </w:r>
          </w:p>
        </w:tc>
        <w:tc>
          <w:tcPr>
            <w:tcW w:w="958" w:type="dxa"/>
          </w:tcPr>
          <w:p w:rsidR="00D43F3E" w:rsidRDefault="00D43F3E" w:rsidP="00F04FB3">
            <w:pPr>
              <w:jc w:val="center"/>
            </w:pPr>
            <w:r>
              <w:t>221</w:t>
            </w:r>
          </w:p>
        </w:tc>
        <w:tc>
          <w:tcPr>
            <w:tcW w:w="958" w:type="dxa"/>
          </w:tcPr>
          <w:p w:rsidR="00D43F3E" w:rsidRDefault="00D43F3E" w:rsidP="00F04FB3">
            <w:pPr>
              <w:jc w:val="center"/>
            </w:pPr>
            <w:r>
              <w:t>224</w:t>
            </w:r>
          </w:p>
        </w:tc>
        <w:tc>
          <w:tcPr>
            <w:tcW w:w="958" w:type="dxa"/>
          </w:tcPr>
          <w:p w:rsidR="00D43F3E" w:rsidRDefault="00D43F3E" w:rsidP="00F04FB3">
            <w:pPr>
              <w:jc w:val="center"/>
            </w:pPr>
            <w:r>
              <w:t>227</w:t>
            </w:r>
          </w:p>
        </w:tc>
        <w:tc>
          <w:tcPr>
            <w:tcW w:w="958" w:type="dxa"/>
          </w:tcPr>
          <w:p w:rsidR="00D43F3E" w:rsidRDefault="00D43F3E" w:rsidP="00F04FB3">
            <w:pPr>
              <w:jc w:val="center"/>
            </w:pPr>
            <w:r>
              <w:t>231</w:t>
            </w:r>
          </w:p>
        </w:tc>
      </w:tr>
    </w:tbl>
    <w:p w:rsidR="00D43F3E" w:rsidRDefault="00D43F3E" w:rsidP="00D43F3E">
      <w:pPr>
        <w:jc w:val="center"/>
      </w:pPr>
    </w:p>
    <w:p w:rsidR="00D43F3E" w:rsidRDefault="002E1FFD" w:rsidP="00D43F3E">
      <w:pPr>
        <w:rPr>
          <w:b/>
        </w:rPr>
      </w:pPr>
      <w:r>
        <w:rPr>
          <w:b/>
        </w:rPr>
        <w:t>Disaggregated Data</w:t>
      </w:r>
    </w:p>
    <w:p w:rsidR="002E1FFD" w:rsidRPr="002E1FFD" w:rsidRDefault="002E1FFD" w:rsidP="00D43F3E">
      <w:r>
        <w:t>Our pass rate for Free and Reduced Lunch is 71.9% for English Language Arts and 64.9% for Math.</w:t>
      </w:r>
    </w:p>
    <w:sectPr w:rsidR="002E1FFD" w:rsidRPr="002E1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AC"/>
    <w:rsid w:val="00072D9C"/>
    <w:rsid w:val="000A163F"/>
    <w:rsid w:val="000F18AA"/>
    <w:rsid w:val="001F6BE7"/>
    <w:rsid w:val="002A0060"/>
    <w:rsid w:val="002E1FFD"/>
    <w:rsid w:val="004A54A5"/>
    <w:rsid w:val="004F15E6"/>
    <w:rsid w:val="005848FF"/>
    <w:rsid w:val="00584D83"/>
    <w:rsid w:val="00637D73"/>
    <w:rsid w:val="006602BB"/>
    <w:rsid w:val="006D630B"/>
    <w:rsid w:val="007A221E"/>
    <w:rsid w:val="00807C4E"/>
    <w:rsid w:val="008D69C1"/>
    <w:rsid w:val="008F6BBB"/>
    <w:rsid w:val="009B5462"/>
    <w:rsid w:val="009D38C9"/>
    <w:rsid w:val="009F784D"/>
    <w:rsid w:val="00A50B91"/>
    <w:rsid w:val="00AA22EF"/>
    <w:rsid w:val="00B50EBE"/>
    <w:rsid w:val="00C274A9"/>
    <w:rsid w:val="00C93AF8"/>
    <w:rsid w:val="00CC3171"/>
    <w:rsid w:val="00D36174"/>
    <w:rsid w:val="00D43F3E"/>
    <w:rsid w:val="00DA36D3"/>
    <w:rsid w:val="00EA6AA0"/>
    <w:rsid w:val="00F172AC"/>
    <w:rsid w:val="00F30573"/>
    <w:rsid w:val="00F6405E"/>
    <w:rsid w:val="00FA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6</cp:revision>
  <dcterms:created xsi:type="dcterms:W3CDTF">2019-04-24T15:51:00Z</dcterms:created>
  <dcterms:modified xsi:type="dcterms:W3CDTF">2019-05-07T15:09:00Z</dcterms:modified>
</cp:coreProperties>
</file>