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741440" w:rsidRPr="00741440" w:rsidTr="00F82A06">
        <w:trPr>
          <w:trHeight w:val="377"/>
        </w:trPr>
        <w:tc>
          <w:tcPr>
            <w:tcW w:w="14040" w:type="dxa"/>
          </w:tcPr>
          <w:p w:rsidR="00741440" w:rsidRPr="00741440" w:rsidRDefault="00741440" w:rsidP="00741440">
            <w:pPr>
              <w:spacing w:after="0" w:line="240" w:lineRule="auto"/>
              <w:jc w:val="center"/>
              <w:rPr>
                <w:rFonts w:ascii="Times New Roman" w:eastAsia="Times New Roman" w:hAnsi="Times New Roman" w:cs="Times New Roman"/>
                <w:b/>
                <w:szCs w:val="24"/>
              </w:rPr>
            </w:pPr>
            <w:bookmarkStart w:id="0" w:name="_GoBack"/>
            <w:bookmarkEnd w:id="0"/>
            <w:r w:rsidRPr="00741440">
              <w:rPr>
                <w:rFonts w:ascii="Times New Roman" w:eastAsia="Times New Roman" w:hAnsi="Times New Roman" w:cs="Times New Roman"/>
                <w:b/>
                <w:szCs w:val="24"/>
              </w:rPr>
              <w:t>STRATEGY 1</w:t>
            </w:r>
          </w:p>
          <w:p w:rsidR="00741440" w:rsidRPr="00741440" w:rsidRDefault="00741440" w:rsidP="00741440">
            <w:pPr>
              <w:spacing w:after="0" w:line="240" w:lineRule="auto"/>
              <w:jc w:val="center"/>
              <w:rPr>
                <w:rFonts w:ascii="Times New Roman" w:eastAsia="Times New Roman" w:hAnsi="Times New Roman" w:cs="Times New Roman"/>
                <w:b/>
                <w:sz w:val="24"/>
                <w:szCs w:val="24"/>
              </w:rPr>
            </w:pPr>
            <w:r w:rsidRPr="00741440">
              <w:rPr>
                <w:rFonts w:ascii="Times New Roman" w:eastAsia="Times New Roman" w:hAnsi="Times New Roman" w:cs="Times New Roman"/>
                <w:b/>
                <w:sz w:val="24"/>
                <w:szCs w:val="24"/>
              </w:rPr>
              <w:t>Continue to incorporate Portrait of a Graduate skills across content areas.</w:t>
            </w:r>
          </w:p>
          <w:p w:rsidR="00741440" w:rsidRPr="00741440" w:rsidRDefault="00741440" w:rsidP="00741440">
            <w:pPr>
              <w:spacing w:after="0" w:line="240" w:lineRule="auto"/>
              <w:rPr>
                <w:rFonts w:ascii="Times New Roman" w:eastAsia="Calibri" w:hAnsi="Times New Roman" w:cs="Times New Roman"/>
                <w:b/>
                <w:sz w:val="18"/>
                <w:szCs w:val="20"/>
              </w:rPr>
            </w:pPr>
          </w:p>
        </w:tc>
      </w:tr>
      <w:tr w:rsidR="00741440" w:rsidRPr="00741440" w:rsidTr="00F82A06">
        <w:trPr>
          <w:trHeight w:val="524"/>
        </w:trPr>
        <w:tc>
          <w:tcPr>
            <w:tcW w:w="14040" w:type="dxa"/>
          </w:tcPr>
          <w:p w:rsidR="00741440" w:rsidRPr="00741440" w:rsidRDefault="00741440" w:rsidP="00741440">
            <w:pPr>
              <w:spacing w:after="0" w:line="0" w:lineRule="atLeast"/>
              <w:rPr>
                <w:rFonts w:ascii="Times New Roman" w:eastAsia="Times New Roman" w:hAnsi="Times New Roman" w:cs="Times New Roman"/>
                <w:szCs w:val="24"/>
              </w:rPr>
            </w:pPr>
            <w:r w:rsidRPr="00741440">
              <w:rPr>
                <w:rFonts w:ascii="Times New Roman" w:eastAsia="Times New Roman" w:hAnsi="Times New Roman" w:cs="Times New Roman"/>
                <w:szCs w:val="24"/>
              </w:rPr>
              <w:t>Collaborative Teams will:</w:t>
            </w:r>
          </w:p>
          <w:p w:rsidR="00741440" w:rsidRP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Keep POG skills at the forefront of team meetings, holistically planning lessons that strengthen students’ abilities to communicate, collaborate, think critically, set goals, and consider global implications.</w:t>
            </w:r>
          </w:p>
          <w:p w:rsidR="00741440" w:rsidRP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Schoolwide implementation of the Positivity Project will support and enhance student learning around POG skills.</w:t>
            </w:r>
          </w:p>
          <w:p w:rsidR="00741440" w:rsidRPr="00741440" w:rsidRDefault="00741440" w:rsidP="00741440">
            <w:pPr>
              <w:pStyle w:val="ListParagraph"/>
              <w:numPr>
                <w:ilvl w:val="0"/>
                <w:numId w:val="5"/>
              </w:numPr>
              <w:spacing w:after="0" w:line="0" w:lineRule="atLeast"/>
              <w:rPr>
                <w:rFonts w:ascii="Times New Roman" w:eastAsia="Times New Roman" w:hAnsi="Times New Roman" w:cs="Times New Roman"/>
                <w:szCs w:val="24"/>
              </w:rPr>
            </w:pPr>
            <w:r w:rsidRPr="00741440">
              <w:rPr>
                <w:rFonts w:ascii="Times New Roman" w:eastAsia="Times New Roman" w:hAnsi="Times New Roman" w:cs="Times New Roman"/>
                <w:szCs w:val="24"/>
              </w:rPr>
              <w:t>The teachers will:</w:t>
            </w:r>
          </w:p>
          <w:p w:rsidR="00741440" w:rsidRP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Participate in professional development to strengthen instruction around opportunities for productive discussion and collaboration.</w:t>
            </w:r>
          </w:p>
          <w:p w:rsidR="00741440" w:rsidRP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 xml:space="preserve">Continue to implement at least one PBL unit and one M2/M3 unit in grades K-5.  </w:t>
            </w:r>
          </w:p>
          <w:p w:rsidR="00741440" w:rsidRP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Continue to implement DBQ’s in grades 3-5.</w:t>
            </w:r>
          </w:p>
          <w:p w:rsidR="00741440" w:rsidRDefault="00741440" w:rsidP="00741440">
            <w:pPr>
              <w:numPr>
                <w:ilvl w:val="0"/>
                <w:numId w:val="5"/>
              </w:numPr>
              <w:spacing w:after="0" w:line="0" w:lineRule="atLeast"/>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Continue to implement elements of the Advanced Academic Curriculum in all grades, suc</w:t>
            </w:r>
            <w:r>
              <w:rPr>
                <w:rFonts w:ascii="Times New Roman" w:eastAsia="Times New Roman" w:hAnsi="Times New Roman" w:cs="Times New Roman"/>
                <w:szCs w:val="24"/>
              </w:rPr>
              <w:t xml:space="preserve">h as Socratic Seminars, Jacob’s </w:t>
            </w:r>
            <w:r w:rsidRPr="00741440">
              <w:rPr>
                <w:rFonts w:ascii="Times New Roman" w:eastAsia="Times New Roman" w:hAnsi="Times New Roman" w:cs="Times New Roman"/>
                <w:szCs w:val="24"/>
              </w:rPr>
              <w:t>Ladder, Caesar’s English, etc. supported by our Advanced Academic Resource and Level IV teachers.</w:t>
            </w:r>
          </w:p>
          <w:p w:rsidR="00741440" w:rsidRPr="00741440" w:rsidRDefault="00741440" w:rsidP="00741440">
            <w:pPr>
              <w:spacing w:after="0" w:line="0" w:lineRule="atLeast"/>
              <w:ind w:left="720"/>
              <w:contextualSpacing/>
              <w:rPr>
                <w:rFonts w:ascii="Times New Roman" w:eastAsia="Times New Roman" w:hAnsi="Times New Roman" w:cs="Times New Roman"/>
                <w:szCs w:val="24"/>
              </w:rPr>
            </w:pPr>
          </w:p>
        </w:tc>
      </w:tr>
      <w:tr w:rsidR="00741440" w:rsidRPr="00741440" w:rsidTr="00F82A06">
        <w:trPr>
          <w:trHeight w:val="98"/>
        </w:trPr>
        <w:tc>
          <w:tcPr>
            <w:tcW w:w="14040" w:type="dxa"/>
          </w:tcPr>
          <w:p w:rsidR="00741440" w:rsidRPr="00741440" w:rsidRDefault="00741440" w:rsidP="00741440">
            <w:pPr>
              <w:spacing w:after="0" w:line="240" w:lineRule="auto"/>
              <w:rPr>
                <w:rFonts w:ascii="Times New Roman" w:eastAsia="Calibri" w:hAnsi="Times New Roman" w:cs="Times New Roman"/>
                <w:b/>
                <w:sz w:val="18"/>
                <w:szCs w:val="20"/>
              </w:rPr>
            </w:pPr>
          </w:p>
        </w:tc>
      </w:tr>
    </w:tbl>
    <w:p w:rsidR="00741440" w:rsidRPr="00741440" w:rsidRDefault="00741440" w:rsidP="00741440">
      <w:pPr>
        <w:spacing w:after="0" w:line="240" w:lineRule="auto"/>
        <w:jc w:val="center"/>
        <w:rPr>
          <w:rFonts w:ascii="Times New Roman" w:eastAsia="Calibri" w:hAnsi="Times New Roman" w:cs="Times New Roman"/>
          <w:sz w:val="20"/>
        </w:rPr>
      </w:pPr>
    </w:p>
    <w:tbl>
      <w:tblPr>
        <w:tblW w:w="140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4"/>
      </w:tblGrid>
      <w:tr w:rsidR="00741440" w:rsidRPr="00741440" w:rsidTr="00F82A06">
        <w:trPr>
          <w:trHeight w:val="340"/>
        </w:trPr>
        <w:tc>
          <w:tcPr>
            <w:tcW w:w="14094" w:type="dxa"/>
          </w:tcPr>
          <w:p w:rsidR="00741440" w:rsidRPr="00741440" w:rsidRDefault="00741440" w:rsidP="00741440">
            <w:pPr>
              <w:spacing w:after="0" w:line="240" w:lineRule="auto"/>
              <w:jc w:val="center"/>
              <w:rPr>
                <w:rFonts w:ascii="Times New Roman" w:eastAsia="Calibri" w:hAnsi="Times New Roman" w:cs="Times New Roman"/>
                <w:b/>
                <w:szCs w:val="24"/>
              </w:rPr>
            </w:pPr>
            <w:r w:rsidRPr="00741440">
              <w:rPr>
                <w:rFonts w:ascii="Times New Roman" w:eastAsia="Calibri" w:hAnsi="Times New Roman" w:cs="Times New Roman"/>
                <w:b/>
                <w:szCs w:val="24"/>
              </w:rPr>
              <w:t>STRATEGY 2</w:t>
            </w:r>
          </w:p>
          <w:p w:rsidR="00741440" w:rsidRPr="00741440" w:rsidRDefault="00741440" w:rsidP="00741440">
            <w:pPr>
              <w:spacing w:after="0" w:line="240" w:lineRule="auto"/>
              <w:jc w:val="center"/>
              <w:rPr>
                <w:rFonts w:ascii="Times New Roman" w:eastAsia="Calibri" w:hAnsi="Times New Roman" w:cs="Times New Roman"/>
                <w:sz w:val="20"/>
              </w:rPr>
            </w:pPr>
            <w:r w:rsidRPr="00741440">
              <w:rPr>
                <w:rFonts w:ascii="Times New Roman" w:eastAsia="Calibri" w:hAnsi="Times New Roman" w:cs="Times New Roman"/>
                <w:b/>
                <w:sz w:val="24"/>
              </w:rPr>
              <w:t>Continue the use of Best Practices in literacy, math, and science instruction</w:t>
            </w:r>
            <w:r w:rsidRPr="00741440">
              <w:rPr>
                <w:rFonts w:ascii="Times New Roman" w:eastAsia="Calibri" w:hAnsi="Times New Roman" w:cs="Times New Roman"/>
                <w:b/>
                <w:sz w:val="20"/>
              </w:rPr>
              <w:t>.</w:t>
            </w:r>
          </w:p>
        </w:tc>
      </w:tr>
      <w:tr w:rsidR="00741440" w:rsidRPr="00741440" w:rsidTr="00F82A06">
        <w:trPr>
          <w:trHeight w:val="1052"/>
        </w:trPr>
        <w:tc>
          <w:tcPr>
            <w:tcW w:w="14094" w:type="dxa"/>
          </w:tcPr>
          <w:p w:rsidR="00741440" w:rsidRPr="00741440" w:rsidRDefault="00741440" w:rsidP="00741440">
            <w:pPr>
              <w:pStyle w:val="ListParagraph"/>
              <w:numPr>
                <w:ilvl w:val="0"/>
                <w:numId w:val="6"/>
              </w:numPr>
              <w:spacing w:line="240" w:lineRule="auto"/>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Teachers will:</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Implement math and reading/writing workshop components with fidelity, and utilize Four Square, making intentional modifications to ensure continued growth through self-evaluation, reflection, and goal-setting using math/literacy rubrics and look-fors.</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Schedule and participate in monthly science CT to pace instruction, utilize common assessments, and analyze data to determine next steps.</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 xml:space="preserve">Utilize assessment data to identify specific students by name and by need and provide specialized reading programs for SWD’s.  During CT’s Special Education teachers will analyze data from specialized reading programs to drive instruction and will receive specialized training as needed. </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Implement Fundations and Math Recovery instructional strategies in 1</w:t>
            </w:r>
            <w:r w:rsidRPr="00741440">
              <w:rPr>
                <w:rFonts w:ascii="Times New Roman" w:eastAsia="Times New Roman" w:hAnsi="Times New Roman" w:cs="Times New Roman"/>
                <w:sz w:val="20"/>
                <w:szCs w:val="24"/>
                <w:vertAlign w:val="superscript"/>
              </w:rPr>
              <w:t>st</w:t>
            </w:r>
            <w:r w:rsidRPr="00741440">
              <w:rPr>
                <w:rFonts w:ascii="Times New Roman" w:eastAsia="Times New Roman" w:hAnsi="Times New Roman" w:cs="Times New Roman"/>
                <w:sz w:val="20"/>
                <w:szCs w:val="24"/>
              </w:rPr>
              <w:t xml:space="preserve"> grade to strengthen content knowledge and provide strong foundational understandings.</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Receive training in and will implement Fundations in 2</w:t>
            </w:r>
            <w:r w:rsidRPr="00741440">
              <w:rPr>
                <w:rFonts w:ascii="Times New Roman" w:eastAsia="Times New Roman" w:hAnsi="Times New Roman" w:cs="Times New Roman"/>
                <w:sz w:val="20"/>
                <w:szCs w:val="24"/>
                <w:vertAlign w:val="superscript"/>
              </w:rPr>
              <w:t>nd</w:t>
            </w:r>
            <w:r w:rsidRPr="00741440">
              <w:rPr>
                <w:rFonts w:ascii="Times New Roman" w:eastAsia="Times New Roman" w:hAnsi="Times New Roman" w:cs="Times New Roman"/>
                <w:sz w:val="20"/>
                <w:szCs w:val="24"/>
              </w:rPr>
              <w:t xml:space="preserve"> grade to strengthen content knowledge and provide strong foundational understandings.</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 xml:space="preserve">Receive yearlong professional development and training to implement K.L.A.P and provide small group, core instruction to targeted kindergarten students. </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Receive Number Worlds training this year to address specific math discrepancies for SWD’s.</w:t>
            </w:r>
          </w:p>
          <w:p w:rsidR="00741440" w:rsidRPr="00741440" w:rsidRDefault="00741440" w:rsidP="00741440">
            <w:pPr>
              <w:pStyle w:val="ListParagraph"/>
              <w:numPr>
                <w:ilvl w:val="0"/>
                <w:numId w:val="6"/>
              </w:numPr>
              <w:spacing w:line="240" w:lineRule="auto"/>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School coaches and teacher leaders will:</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 xml:space="preserve">Facilitate professional development around best practices in literacy, math, and science instruction through PD cohorts.  </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 w:val="20"/>
                <w:szCs w:val="24"/>
              </w:rPr>
            </w:pPr>
            <w:r w:rsidRPr="00741440">
              <w:rPr>
                <w:rFonts w:ascii="Times New Roman" w:eastAsia="Times New Roman" w:hAnsi="Times New Roman" w:cs="Times New Roman"/>
                <w:sz w:val="20"/>
                <w:szCs w:val="24"/>
              </w:rPr>
              <w:t>Participation in Literacy Collaborative and/or Math Recovery cohort for primary teachers.</w:t>
            </w:r>
          </w:p>
          <w:p w:rsidR="00741440" w:rsidRPr="00741440" w:rsidRDefault="00741440" w:rsidP="00741440">
            <w:pPr>
              <w:numPr>
                <w:ilvl w:val="0"/>
                <w:numId w:val="6"/>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 w:val="20"/>
                <w:szCs w:val="24"/>
              </w:rPr>
              <w:t xml:space="preserve">Provide literacy and math coaching opportunities for all teachers as well as cluster coaching/labsites based on a review of student performance data and observations of instruction to strengthen teachers’ craft. </w:t>
            </w:r>
          </w:p>
        </w:tc>
      </w:tr>
      <w:tr w:rsidR="00741440" w:rsidRPr="00741440" w:rsidTr="00F82A06">
        <w:trPr>
          <w:trHeight w:val="260"/>
        </w:trPr>
        <w:tc>
          <w:tcPr>
            <w:tcW w:w="14094" w:type="dxa"/>
          </w:tcPr>
          <w:p w:rsidR="00741440" w:rsidRPr="00741440" w:rsidRDefault="00741440" w:rsidP="00741440">
            <w:pPr>
              <w:spacing w:after="0" w:line="240" w:lineRule="auto"/>
              <w:rPr>
                <w:rFonts w:ascii="Times New Roman" w:eastAsia="Calibri" w:hAnsi="Times New Roman" w:cs="Times New Roman"/>
                <w:b/>
                <w:sz w:val="18"/>
                <w:szCs w:val="20"/>
              </w:rPr>
            </w:pPr>
          </w:p>
        </w:tc>
      </w:tr>
      <w:tr w:rsidR="00741440" w:rsidRPr="00741440" w:rsidTr="00F82A06">
        <w:trPr>
          <w:trHeight w:val="440"/>
        </w:trPr>
        <w:tc>
          <w:tcPr>
            <w:tcW w:w="14094" w:type="dxa"/>
          </w:tcPr>
          <w:p w:rsidR="00741440" w:rsidRPr="00741440" w:rsidRDefault="00741440" w:rsidP="00741440">
            <w:pPr>
              <w:tabs>
                <w:tab w:val="left" w:pos="720"/>
                <w:tab w:val="left" w:pos="5867"/>
              </w:tabs>
              <w:spacing w:after="0" w:line="240" w:lineRule="auto"/>
              <w:jc w:val="center"/>
              <w:rPr>
                <w:rFonts w:ascii="Times New Roman" w:eastAsia="Calibri" w:hAnsi="Times New Roman" w:cs="Times New Roman"/>
                <w:b/>
                <w:szCs w:val="20"/>
              </w:rPr>
            </w:pPr>
            <w:r w:rsidRPr="00741440">
              <w:rPr>
                <w:rFonts w:ascii="Times New Roman" w:eastAsia="Calibri" w:hAnsi="Times New Roman" w:cs="Times New Roman"/>
                <w:b/>
                <w:szCs w:val="20"/>
              </w:rPr>
              <w:t>STRATEGY 3</w:t>
            </w:r>
          </w:p>
          <w:p w:rsidR="00741440" w:rsidRPr="00741440" w:rsidRDefault="00741440" w:rsidP="00741440">
            <w:pPr>
              <w:spacing w:after="0" w:line="240" w:lineRule="auto"/>
              <w:jc w:val="center"/>
              <w:rPr>
                <w:rFonts w:ascii="Times New Roman" w:eastAsia="Times New Roman" w:hAnsi="Times New Roman" w:cs="Times New Roman"/>
                <w:b/>
                <w:sz w:val="24"/>
                <w:szCs w:val="24"/>
              </w:rPr>
            </w:pPr>
            <w:r w:rsidRPr="00741440">
              <w:rPr>
                <w:rFonts w:ascii="Times New Roman" w:eastAsia="Times New Roman" w:hAnsi="Times New Roman" w:cs="Times New Roman"/>
                <w:b/>
                <w:sz w:val="24"/>
                <w:szCs w:val="24"/>
              </w:rPr>
              <w:t>Continue to implement and strengthen the RI model and provide targeted support to identified students.</w:t>
            </w:r>
          </w:p>
          <w:p w:rsidR="00741440" w:rsidRPr="00741440" w:rsidRDefault="00741440" w:rsidP="00741440">
            <w:pPr>
              <w:spacing w:after="0" w:line="240" w:lineRule="auto"/>
              <w:rPr>
                <w:rFonts w:ascii="Times New Roman" w:eastAsia="Calibri" w:hAnsi="Times New Roman" w:cs="Times New Roman"/>
                <w:b/>
                <w:sz w:val="18"/>
                <w:szCs w:val="20"/>
              </w:rPr>
            </w:pPr>
          </w:p>
        </w:tc>
      </w:tr>
      <w:tr w:rsidR="00741440" w:rsidRPr="00741440" w:rsidTr="00F82A06">
        <w:trPr>
          <w:trHeight w:val="525"/>
        </w:trPr>
        <w:tc>
          <w:tcPr>
            <w:tcW w:w="14094" w:type="dxa"/>
          </w:tcPr>
          <w:p w:rsidR="00741440" w:rsidRPr="00741440" w:rsidRDefault="00741440" w:rsidP="00741440">
            <w:pPr>
              <w:pStyle w:val="ListParagraph"/>
              <w:numPr>
                <w:ilvl w:val="0"/>
                <w:numId w:val="7"/>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The RI Team will:</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Provide appropriate interventions for students identified by the RI Core Team.</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Consistently monitor progress for each student receiving tier 2 and tier 3 interventions, and use data collected from progress monitoring tools to modify as necessary.</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Take necessary steps to ensure each member of our school community has a shared understanding of the RI process and its purpose to support student success.</w:t>
            </w:r>
          </w:p>
          <w:p w:rsidR="00741440" w:rsidRPr="00741440" w:rsidRDefault="00741440" w:rsidP="00741440">
            <w:pPr>
              <w:pStyle w:val="ListParagraph"/>
              <w:numPr>
                <w:ilvl w:val="0"/>
                <w:numId w:val="7"/>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The teachers will:</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Participate in professional development to strengthen their skills in Tier 1 differentiation, scaffolding, and reteaching.</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Implement the intervention plans discussed with content coaches/RI Core Team to fidelity, sharing progress monitoring data, and convening the team when modifications are necessary.</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szCs w:val="24"/>
              </w:rPr>
            </w:pPr>
            <w:r w:rsidRPr="00741440">
              <w:rPr>
                <w:rFonts w:ascii="Times New Roman" w:eastAsia="Times New Roman" w:hAnsi="Times New Roman" w:cs="Times New Roman"/>
                <w:szCs w:val="24"/>
              </w:rPr>
              <w:t>Continue the use of specialized and non-specialized reading programs to meet specific student learning needs (K.L.A.P, Fundations, LLI, SRA) with support from the content coaching team.</w:t>
            </w:r>
          </w:p>
          <w:p w:rsidR="00741440" w:rsidRPr="00741440" w:rsidRDefault="00741440" w:rsidP="00741440">
            <w:pPr>
              <w:numPr>
                <w:ilvl w:val="0"/>
                <w:numId w:val="7"/>
              </w:numPr>
              <w:spacing w:after="0" w:line="240" w:lineRule="auto"/>
              <w:contextualSpacing/>
              <w:rPr>
                <w:rFonts w:ascii="Times New Roman" w:eastAsia="Times New Roman" w:hAnsi="Times New Roman" w:cs="Times New Roman"/>
                <w:b/>
                <w:szCs w:val="24"/>
              </w:rPr>
            </w:pPr>
            <w:r w:rsidRPr="00741440">
              <w:rPr>
                <w:rFonts w:ascii="Times New Roman" w:eastAsia="Times New Roman" w:hAnsi="Times New Roman" w:cs="Times New Roman"/>
                <w:szCs w:val="24"/>
              </w:rPr>
              <w:t>Collaborate with interventionists supporting students to ensure a tailored and cohesive instructional plan is created and maintained for each child.</w:t>
            </w:r>
          </w:p>
        </w:tc>
      </w:tr>
    </w:tbl>
    <w:p w:rsidR="00741440" w:rsidRPr="00741440" w:rsidRDefault="00741440" w:rsidP="00741440">
      <w:pPr>
        <w:spacing w:after="0" w:line="240" w:lineRule="auto"/>
        <w:rPr>
          <w:rFonts w:ascii="Times New Roman" w:eastAsia="Times New Roman" w:hAnsi="Times New Roman" w:cs="Times New Roman"/>
          <w:szCs w:val="24"/>
        </w:rPr>
      </w:pPr>
    </w:p>
    <w:tbl>
      <w:tblPr>
        <w:tblW w:w="1400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3"/>
      </w:tblGrid>
      <w:tr w:rsidR="00741440" w:rsidRPr="00741440" w:rsidTr="00F82A06">
        <w:trPr>
          <w:trHeight w:val="365"/>
        </w:trPr>
        <w:tc>
          <w:tcPr>
            <w:tcW w:w="14003" w:type="dxa"/>
            <w:shd w:val="clear" w:color="auto" w:fill="auto"/>
          </w:tcPr>
          <w:p w:rsidR="00741440" w:rsidRPr="00741440" w:rsidRDefault="00741440" w:rsidP="00741440">
            <w:pPr>
              <w:spacing w:after="0" w:line="240" w:lineRule="auto"/>
              <w:jc w:val="center"/>
              <w:rPr>
                <w:rFonts w:ascii="Times New Roman" w:eastAsia="Times New Roman" w:hAnsi="Times New Roman" w:cs="Times New Roman"/>
                <w:b/>
                <w:szCs w:val="24"/>
              </w:rPr>
            </w:pPr>
            <w:r w:rsidRPr="00741440">
              <w:rPr>
                <w:rFonts w:ascii="Times New Roman" w:eastAsia="Times New Roman" w:hAnsi="Times New Roman" w:cs="Times New Roman"/>
                <w:b/>
                <w:szCs w:val="24"/>
              </w:rPr>
              <w:t>STRATEGY 4</w:t>
            </w:r>
          </w:p>
          <w:p w:rsidR="00741440" w:rsidRPr="00741440" w:rsidRDefault="00741440" w:rsidP="00741440">
            <w:pPr>
              <w:spacing w:after="0" w:line="240" w:lineRule="auto"/>
              <w:jc w:val="center"/>
              <w:rPr>
                <w:rFonts w:ascii="Times New Roman" w:eastAsia="Times New Roman" w:hAnsi="Times New Roman" w:cs="Times New Roman"/>
                <w:b/>
                <w:szCs w:val="24"/>
              </w:rPr>
            </w:pPr>
            <w:r w:rsidRPr="00741440">
              <w:rPr>
                <w:rFonts w:ascii="Times New Roman" w:eastAsia="Times New Roman" w:hAnsi="Times New Roman" w:cs="Times New Roman"/>
                <w:b/>
                <w:sz w:val="24"/>
                <w:szCs w:val="24"/>
              </w:rPr>
              <w:t>Revisit the foundational concepts of a Professional Learning Community and Collaborative Teams to refine our work to ensure equitable and high levels of instruction for all students.</w:t>
            </w:r>
          </w:p>
        </w:tc>
      </w:tr>
      <w:tr w:rsidR="00741440" w:rsidRPr="00741440" w:rsidTr="00F82A06">
        <w:trPr>
          <w:trHeight w:val="384"/>
        </w:trPr>
        <w:tc>
          <w:tcPr>
            <w:tcW w:w="14003" w:type="dxa"/>
            <w:shd w:val="clear" w:color="auto" w:fill="auto"/>
          </w:tcPr>
          <w:p w:rsidR="00741440" w:rsidRPr="00741440" w:rsidRDefault="00741440" w:rsidP="00741440">
            <w:pPr>
              <w:pStyle w:val="ListParagraph"/>
              <w:numPr>
                <w:ilvl w:val="0"/>
                <w:numId w:val="8"/>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Collaborative Teams will:</w:t>
            </w:r>
          </w:p>
          <w:p w:rsidR="00741440" w:rsidRPr="00741440" w:rsidRDefault="00741440" w:rsidP="00741440">
            <w:pPr>
              <w:numPr>
                <w:ilvl w:val="0"/>
                <w:numId w:val="8"/>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Create and revisit team norms consistently.</w:t>
            </w:r>
          </w:p>
          <w:p w:rsidR="00741440" w:rsidRPr="00741440" w:rsidRDefault="00741440" w:rsidP="00741440">
            <w:pPr>
              <w:numPr>
                <w:ilvl w:val="0"/>
                <w:numId w:val="8"/>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Utilize the CT cycle to unpack instructional units and strategies.</w:t>
            </w:r>
          </w:p>
          <w:p w:rsidR="00741440" w:rsidRPr="00741440" w:rsidRDefault="00741440" w:rsidP="00741440">
            <w:pPr>
              <w:numPr>
                <w:ilvl w:val="0"/>
                <w:numId w:val="8"/>
              </w:numPr>
              <w:spacing w:after="0" w:line="240" w:lineRule="auto"/>
              <w:rPr>
                <w:rFonts w:ascii="Times New Roman" w:eastAsia="Times New Roman" w:hAnsi="Times New Roman" w:cs="Times New Roman"/>
                <w:szCs w:val="24"/>
              </w:rPr>
            </w:pPr>
            <w:r w:rsidRPr="00741440">
              <w:rPr>
                <w:rFonts w:ascii="Times New Roman" w:eastAsia="Times New Roman" w:hAnsi="Times New Roman" w:cs="Times New Roman"/>
                <w:szCs w:val="24"/>
              </w:rPr>
              <w:t>Consistently evaluate the state of CTs, making collective and intentional modifications to ensure the continued growth of the team through self-evaluation, team discussion, and team goal-setting using a PLC rubric.</w:t>
            </w:r>
          </w:p>
          <w:p w:rsidR="00741440" w:rsidRPr="00741440" w:rsidRDefault="00741440" w:rsidP="00741440">
            <w:pPr>
              <w:spacing w:after="0" w:line="240" w:lineRule="auto"/>
              <w:rPr>
                <w:rFonts w:ascii="Times New Roman" w:eastAsia="Times New Roman" w:hAnsi="Times New Roman" w:cs="Times New Roman"/>
                <w:szCs w:val="24"/>
              </w:rPr>
            </w:pPr>
          </w:p>
          <w:p w:rsidR="00741440" w:rsidRPr="00741440" w:rsidRDefault="00741440" w:rsidP="00741440">
            <w:pPr>
              <w:spacing w:after="0" w:line="240" w:lineRule="auto"/>
              <w:rPr>
                <w:rFonts w:ascii="Times New Roman" w:eastAsia="Times New Roman" w:hAnsi="Times New Roman" w:cs="Times New Roman"/>
                <w:szCs w:val="24"/>
              </w:rPr>
            </w:pPr>
          </w:p>
        </w:tc>
      </w:tr>
    </w:tbl>
    <w:p w:rsidR="00741440" w:rsidRPr="00741440" w:rsidRDefault="00741440" w:rsidP="00741440">
      <w:pPr>
        <w:spacing w:after="0" w:line="240" w:lineRule="auto"/>
        <w:rPr>
          <w:rFonts w:ascii="Times New Roman" w:eastAsia="Times New Roman" w:hAnsi="Times New Roman" w:cs="Times New Roman"/>
          <w:sz w:val="24"/>
          <w:szCs w:val="24"/>
        </w:rPr>
      </w:pPr>
    </w:p>
    <w:p w:rsidR="00741440" w:rsidRPr="00741440" w:rsidRDefault="00741440" w:rsidP="00741440">
      <w:pPr>
        <w:spacing w:after="0" w:line="240" w:lineRule="auto"/>
        <w:rPr>
          <w:rFonts w:ascii="Times New Roman" w:eastAsia="Times New Roman" w:hAnsi="Times New Roman" w:cs="Times New Roman"/>
          <w:sz w:val="24"/>
          <w:szCs w:val="24"/>
        </w:rPr>
      </w:pPr>
    </w:p>
    <w:p w:rsidR="00741440" w:rsidRPr="00741440" w:rsidRDefault="00741440" w:rsidP="00741440">
      <w:pPr>
        <w:spacing w:after="0" w:line="240" w:lineRule="auto"/>
        <w:rPr>
          <w:rFonts w:ascii="Times New Roman" w:eastAsia="Times New Roman" w:hAnsi="Times New Roman" w:cs="Times New Roman"/>
          <w:sz w:val="24"/>
          <w:szCs w:val="24"/>
        </w:rPr>
      </w:pPr>
    </w:p>
    <w:p w:rsidR="00741440" w:rsidRPr="00741440" w:rsidRDefault="00741440" w:rsidP="00741440">
      <w:pPr>
        <w:spacing w:after="0" w:line="240" w:lineRule="auto"/>
        <w:rPr>
          <w:rFonts w:ascii="Times New Roman" w:eastAsia="Times New Roman" w:hAnsi="Times New Roman" w:cs="Times New Roman"/>
          <w:sz w:val="24"/>
          <w:szCs w:val="24"/>
        </w:rPr>
      </w:pPr>
    </w:p>
    <w:p w:rsidR="00F01771" w:rsidRDefault="00F01771"/>
    <w:sectPr w:rsidR="00F01771" w:rsidSect="0074144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CE" w:rsidRDefault="000469CE" w:rsidP="00741440">
      <w:pPr>
        <w:spacing w:after="0" w:line="240" w:lineRule="auto"/>
      </w:pPr>
      <w:r>
        <w:separator/>
      </w:r>
    </w:p>
  </w:endnote>
  <w:endnote w:type="continuationSeparator" w:id="0">
    <w:p w:rsidR="000469CE" w:rsidRDefault="000469CE" w:rsidP="0074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CE" w:rsidRDefault="000469CE" w:rsidP="00741440">
      <w:pPr>
        <w:spacing w:after="0" w:line="240" w:lineRule="auto"/>
      </w:pPr>
      <w:r>
        <w:separator/>
      </w:r>
    </w:p>
  </w:footnote>
  <w:footnote w:type="continuationSeparator" w:id="0">
    <w:p w:rsidR="000469CE" w:rsidRDefault="000469CE" w:rsidP="0074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440" w:rsidRPr="00741440" w:rsidRDefault="00741440" w:rsidP="00741440">
    <w:pPr>
      <w:pStyle w:val="Header"/>
      <w:ind w:firstLine="720"/>
      <w:rPr>
        <w:sz w:val="36"/>
        <w:szCs w:val="36"/>
      </w:rPr>
    </w:pPr>
    <w:r>
      <w:rPr>
        <w:noProof/>
        <w:sz w:val="36"/>
        <w:szCs w:val="36"/>
      </w:rPr>
      <w:drawing>
        <wp:anchor distT="0" distB="0" distL="114300" distR="114300" simplePos="0" relativeHeight="251660288" behindDoc="0" locked="0" layoutInCell="1" allowOverlap="1" wp14:anchorId="7CA1135B" wp14:editId="4A7088C3">
          <wp:simplePos x="0" y="0"/>
          <wp:positionH relativeFrom="margin">
            <wp:posOffset>6758939</wp:posOffset>
          </wp:positionH>
          <wp:positionV relativeFrom="paragraph">
            <wp:posOffset>-204470</wp:posOffset>
          </wp:positionV>
          <wp:extent cx="849630" cy="824230"/>
          <wp:effectExtent l="133350" t="133350" r="140970" b="1473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in[1].jpg"/>
                  <pic:cNvPicPr/>
                </pic:nvPicPr>
                <pic:blipFill>
                  <a:blip r:embed="rId1" cstate="print">
                    <a:extLst>
                      <a:ext uri="{28A0092B-C50C-407E-A947-70E740481C1C}">
                        <a14:useLocalDpi xmlns:a14="http://schemas.microsoft.com/office/drawing/2010/main" val="0"/>
                      </a:ext>
                    </a:extLst>
                  </a:blip>
                  <a:stretch>
                    <a:fillRect/>
                  </a:stretch>
                </pic:blipFill>
                <pic:spPr>
                  <a:xfrm rot="1314394">
                    <a:off x="0" y="0"/>
                    <a:ext cx="849630" cy="82423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240" behindDoc="0" locked="0" layoutInCell="1" allowOverlap="1">
          <wp:simplePos x="0" y="0"/>
          <wp:positionH relativeFrom="margin">
            <wp:posOffset>548005</wp:posOffset>
          </wp:positionH>
          <wp:positionV relativeFrom="paragraph">
            <wp:posOffset>-228600</wp:posOffset>
          </wp:positionV>
          <wp:extent cx="899160" cy="872168"/>
          <wp:effectExtent l="133350" t="152400" r="110490" b="137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in[1].jpg"/>
                  <pic:cNvPicPr/>
                </pic:nvPicPr>
                <pic:blipFill>
                  <a:blip r:embed="rId1" cstate="print">
                    <a:extLst>
                      <a:ext uri="{28A0092B-C50C-407E-A947-70E740481C1C}">
                        <a14:useLocalDpi xmlns:a14="http://schemas.microsoft.com/office/drawing/2010/main" val="0"/>
                      </a:ext>
                    </a:extLst>
                  </a:blip>
                  <a:stretch>
                    <a:fillRect/>
                  </a:stretch>
                </pic:blipFill>
                <pic:spPr>
                  <a:xfrm rot="20267514">
                    <a:off x="0" y="0"/>
                    <a:ext cx="899160" cy="872168"/>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 xml:space="preserve">            </w:t>
    </w:r>
    <w:r w:rsidRPr="00741440">
      <w:rPr>
        <w:sz w:val="36"/>
        <w:szCs w:val="36"/>
      </w:rPr>
      <w:t>Mid-year SIIP Strategy Check-in</w:t>
    </w:r>
  </w:p>
  <w:p w:rsidR="00741440" w:rsidRDefault="0074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5E8"/>
    <w:multiLevelType w:val="hybridMultilevel"/>
    <w:tmpl w:val="7DA0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6D1F"/>
    <w:multiLevelType w:val="hybridMultilevel"/>
    <w:tmpl w:val="84B4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0CFE"/>
    <w:multiLevelType w:val="hybridMultilevel"/>
    <w:tmpl w:val="6154393A"/>
    <w:lvl w:ilvl="0" w:tplc="C90AF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5A45"/>
    <w:multiLevelType w:val="hybridMultilevel"/>
    <w:tmpl w:val="96720A56"/>
    <w:lvl w:ilvl="0" w:tplc="C90AF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3A66"/>
    <w:multiLevelType w:val="hybridMultilevel"/>
    <w:tmpl w:val="143A3286"/>
    <w:lvl w:ilvl="0" w:tplc="C90AF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39A1"/>
    <w:multiLevelType w:val="hybridMultilevel"/>
    <w:tmpl w:val="727C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791"/>
    <w:multiLevelType w:val="hybridMultilevel"/>
    <w:tmpl w:val="F36C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32537"/>
    <w:multiLevelType w:val="hybridMultilevel"/>
    <w:tmpl w:val="EBEE9DF4"/>
    <w:lvl w:ilvl="0" w:tplc="C90AF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40"/>
    <w:rsid w:val="000469CE"/>
    <w:rsid w:val="002479AA"/>
    <w:rsid w:val="00290B1F"/>
    <w:rsid w:val="00556AA0"/>
    <w:rsid w:val="007008FA"/>
    <w:rsid w:val="00741440"/>
    <w:rsid w:val="00C11697"/>
    <w:rsid w:val="00EB5E1F"/>
    <w:rsid w:val="00F0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D296F2-FAAA-4D37-BB01-68A26CFC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40"/>
    <w:pPr>
      <w:ind w:left="720"/>
      <w:contextualSpacing/>
    </w:pPr>
  </w:style>
  <w:style w:type="paragraph" w:styleId="Header">
    <w:name w:val="header"/>
    <w:basedOn w:val="Normal"/>
    <w:link w:val="HeaderChar"/>
    <w:uiPriority w:val="99"/>
    <w:unhideWhenUsed/>
    <w:rsid w:val="0074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40"/>
  </w:style>
  <w:style w:type="paragraph" w:styleId="Footer">
    <w:name w:val="footer"/>
    <w:basedOn w:val="Normal"/>
    <w:link w:val="FooterChar"/>
    <w:uiPriority w:val="99"/>
    <w:unhideWhenUsed/>
    <w:rsid w:val="00741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40"/>
  </w:style>
  <w:style w:type="paragraph" w:styleId="BalloonText">
    <w:name w:val="Balloon Text"/>
    <w:basedOn w:val="Normal"/>
    <w:link w:val="BalloonTextChar"/>
    <w:uiPriority w:val="99"/>
    <w:semiHidden/>
    <w:unhideWhenUsed/>
    <w:rsid w:val="0024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Tiffany</dc:creator>
  <cp:keywords/>
  <dc:description/>
  <cp:lastModifiedBy>Franck, Alexandra</cp:lastModifiedBy>
  <cp:revision>2</cp:revision>
  <cp:lastPrinted>2019-02-21T17:19:00Z</cp:lastPrinted>
  <dcterms:created xsi:type="dcterms:W3CDTF">2019-03-11T17:20:00Z</dcterms:created>
  <dcterms:modified xsi:type="dcterms:W3CDTF">2019-03-11T17:20:00Z</dcterms:modified>
</cp:coreProperties>
</file>