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9A" w:rsidRPr="000A7947" w:rsidRDefault="0084089A">
      <w:pPr>
        <w:rPr>
          <w:b/>
        </w:rPr>
      </w:pPr>
      <w:r w:rsidRPr="000A7947">
        <w:rPr>
          <w:b/>
        </w:rPr>
        <w:t>Info for SC Ready 2017 and SC PASS 2017</w:t>
      </w:r>
    </w:p>
    <w:p w:rsidR="0084089A" w:rsidRDefault="0084089A" w:rsidP="0084089A">
      <w:pPr>
        <w:pStyle w:val="ListParagraph"/>
        <w:numPr>
          <w:ilvl w:val="0"/>
          <w:numId w:val="1"/>
        </w:numPr>
      </w:pPr>
      <w:r>
        <w:t>This summer, the SCDE completed the vertical alignment for SC Ready.  This makes SC Ready reporting more like MAP.  One vertical scale, common to all tested grades.</w:t>
      </w:r>
    </w:p>
    <w:p w:rsidR="00B9091B" w:rsidRDefault="00B9091B" w:rsidP="00B9091B">
      <w:pPr>
        <w:pStyle w:val="ListParagraph"/>
      </w:pPr>
    </w:p>
    <w:p w:rsidR="00B9091B" w:rsidRDefault="00B9091B" w:rsidP="000A7947">
      <w:pPr>
        <w:pStyle w:val="ListParagraph"/>
        <w:numPr>
          <w:ilvl w:val="0"/>
          <w:numId w:val="1"/>
        </w:numPr>
      </w:pPr>
      <w:r>
        <w:t>Just like students in different grades levels can be the same height.  One might be “tall for his age” or “short for his age”.  Now, students in different grade levels can have the same SC Ready score.</w:t>
      </w:r>
    </w:p>
    <w:p w:rsidR="00B9091B" w:rsidRDefault="00B9091B" w:rsidP="00B9091B">
      <w:pPr>
        <w:pStyle w:val="ListParagraph"/>
      </w:pPr>
    </w:p>
    <w:p w:rsidR="0084089A" w:rsidRDefault="0084089A" w:rsidP="0084089A">
      <w:pPr>
        <w:pStyle w:val="ListParagraph"/>
        <w:numPr>
          <w:ilvl w:val="0"/>
          <w:numId w:val="1"/>
        </w:numPr>
      </w:pPr>
      <w:r>
        <w:t>So, a 3</w:t>
      </w:r>
      <w:r w:rsidRPr="0084089A">
        <w:rPr>
          <w:vertAlign w:val="superscript"/>
        </w:rPr>
        <w:t>rd</w:t>
      </w:r>
      <w:r>
        <w:t>, 5</w:t>
      </w:r>
      <w:r w:rsidRPr="0084089A">
        <w:rPr>
          <w:vertAlign w:val="superscript"/>
        </w:rPr>
        <w:t>th</w:t>
      </w:r>
      <w:r>
        <w:t>, and 7</w:t>
      </w:r>
      <w:r w:rsidRPr="0084089A">
        <w:rPr>
          <w:vertAlign w:val="superscript"/>
        </w:rPr>
        <w:t>th</w:t>
      </w:r>
      <w:r>
        <w:t xml:space="preserve"> grader could all score a 550 on SC Read</w:t>
      </w:r>
      <w:r w:rsidR="00B9091B">
        <w:t>y Math.  F</w:t>
      </w:r>
      <w:r>
        <w:t>or the 3</w:t>
      </w:r>
      <w:r w:rsidRPr="0084089A">
        <w:rPr>
          <w:vertAlign w:val="superscript"/>
        </w:rPr>
        <w:t>rd</w:t>
      </w:r>
      <w:r>
        <w:t xml:space="preserve"> grader </w:t>
      </w:r>
      <w:r w:rsidR="00B9091B">
        <w:t xml:space="preserve">that 550 </w:t>
      </w:r>
      <w:r>
        <w:t xml:space="preserve">would </w:t>
      </w:r>
      <w:r w:rsidR="00B9091B">
        <w:t>be classified as “Exceeds Expectations”; for the 5</w:t>
      </w:r>
      <w:r w:rsidR="00B9091B" w:rsidRPr="00B9091B">
        <w:rPr>
          <w:vertAlign w:val="superscript"/>
        </w:rPr>
        <w:t>th</w:t>
      </w:r>
      <w:r w:rsidR="00B9091B">
        <w:t xml:space="preserve"> grader the performance level would be “Meets Expectations”; and the 7</w:t>
      </w:r>
      <w:r w:rsidR="00B9091B" w:rsidRPr="00B9091B">
        <w:rPr>
          <w:vertAlign w:val="superscript"/>
        </w:rPr>
        <w:t>th</w:t>
      </w:r>
      <w:r w:rsidR="00B9091B">
        <w:t xml:space="preserve"> grader’s level would be “Approaches Expectations”.</w:t>
      </w:r>
    </w:p>
    <w:p w:rsidR="00B9091B" w:rsidRDefault="00B9091B" w:rsidP="00B9091B">
      <w:pPr>
        <w:pStyle w:val="ListParagraph"/>
      </w:pPr>
    </w:p>
    <w:p w:rsidR="0084089A" w:rsidRDefault="00B9091B" w:rsidP="0084089A">
      <w:pPr>
        <w:pStyle w:val="ListParagraph"/>
        <w:numPr>
          <w:ilvl w:val="0"/>
          <w:numId w:val="1"/>
        </w:numPr>
      </w:pPr>
      <w:r>
        <w:t>The four performance levels have not chang</w:t>
      </w:r>
      <w:bookmarkStart w:id="0" w:name="_GoBack"/>
      <w:bookmarkEnd w:id="0"/>
      <w:r>
        <w:t>ed.  The same degree of achievement is required for each performance level as in 2016.  The change is in the numbers on the scale.</w:t>
      </w:r>
    </w:p>
    <w:p w:rsidR="00B9091B" w:rsidRDefault="00B9091B" w:rsidP="00B9091B">
      <w:pPr>
        <w:pStyle w:val="ListParagraph"/>
      </w:pPr>
    </w:p>
    <w:p w:rsidR="009B1AE1" w:rsidRDefault="00B9091B" w:rsidP="009B1AE1">
      <w:pPr>
        <w:pStyle w:val="ListParagraph"/>
        <w:numPr>
          <w:ilvl w:val="0"/>
          <w:numId w:val="1"/>
        </w:numPr>
      </w:pPr>
      <w:r>
        <w:t xml:space="preserve">An SC Ready performance level of “Meets Expectations” means that </w:t>
      </w:r>
      <w:r w:rsidR="009B1AE1">
        <w:t>this student is on the trajectory to be successful in a 4-year college program or 2-year college transfer program upon HS graduation.</w:t>
      </w:r>
    </w:p>
    <w:p w:rsidR="009B1AE1" w:rsidRPr="009B1AE1" w:rsidRDefault="009B1AE1" w:rsidP="009B1AE1">
      <w:pPr>
        <w:pStyle w:val="ListParagraph"/>
        <w:rPr>
          <w:rFonts w:eastAsia="Times New Roman" w:cstheme="minorHAnsi"/>
          <w:sz w:val="24"/>
          <w:szCs w:val="24"/>
        </w:rPr>
      </w:pPr>
    </w:p>
    <w:p w:rsidR="009B1AE1" w:rsidRPr="009B1AE1" w:rsidRDefault="009B1AE1" w:rsidP="00781333">
      <w:pPr>
        <w:pStyle w:val="ListParagraph"/>
        <w:numPr>
          <w:ilvl w:val="0"/>
          <w:numId w:val="1"/>
        </w:numPr>
        <w:rPr>
          <w:rFonts w:cstheme="minorHAnsi"/>
        </w:rPr>
      </w:pPr>
      <w:r w:rsidRPr="009B1AE1">
        <w:rPr>
          <w:rFonts w:eastAsia="Times New Roman" w:cstheme="minorHAnsi"/>
        </w:rPr>
        <w:t>On the ACT college entrance exam, the benchmark scores indicate a 50% chance of earning a B. and 75% chance of earning a C in the corre</w:t>
      </w:r>
      <w:r>
        <w:rPr>
          <w:rFonts w:eastAsia="Times New Roman" w:cstheme="minorHAnsi"/>
        </w:rPr>
        <w:t>sponding college level course.</w:t>
      </w:r>
    </w:p>
    <w:p w:rsidR="009B1AE1" w:rsidRPr="009B1AE1" w:rsidRDefault="009B1AE1" w:rsidP="009B1AE1">
      <w:pPr>
        <w:pStyle w:val="ListParagraph"/>
        <w:rPr>
          <w:rFonts w:cstheme="minorHAnsi"/>
        </w:rPr>
      </w:pPr>
    </w:p>
    <w:p w:rsidR="009B1AE1" w:rsidRDefault="009B1AE1" w:rsidP="00781333">
      <w:pPr>
        <w:pStyle w:val="ListParagraph"/>
        <w:numPr>
          <w:ilvl w:val="0"/>
          <w:numId w:val="1"/>
        </w:numPr>
        <w:rPr>
          <w:rFonts w:cstheme="minorHAnsi"/>
        </w:rPr>
      </w:pPr>
      <w:r>
        <w:rPr>
          <w:rFonts w:cstheme="minorHAnsi"/>
        </w:rPr>
        <w:t>The ACT</w:t>
      </w:r>
      <w:r w:rsidR="00D94269">
        <w:rPr>
          <w:rFonts w:cstheme="minorHAnsi"/>
        </w:rPr>
        <w:t xml:space="preserve"> benchmark scores have been backtracked </w:t>
      </w:r>
      <w:r>
        <w:rPr>
          <w:rFonts w:cstheme="minorHAnsi"/>
        </w:rPr>
        <w:t>for grades 3-8, and correspond to the Meets Expectation</w:t>
      </w:r>
      <w:r w:rsidR="00D94269">
        <w:rPr>
          <w:rFonts w:cstheme="minorHAnsi"/>
        </w:rPr>
        <w:t>s</w:t>
      </w:r>
      <w:r>
        <w:rPr>
          <w:rFonts w:cstheme="minorHAnsi"/>
        </w:rPr>
        <w:t xml:space="preserve"> performance level.</w:t>
      </w:r>
    </w:p>
    <w:p w:rsidR="009B1AE1" w:rsidRPr="009B1AE1" w:rsidRDefault="009B1AE1" w:rsidP="009B1AE1">
      <w:pPr>
        <w:pStyle w:val="ListParagraph"/>
        <w:rPr>
          <w:rFonts w:cstheme="minorHAnsi"/>
        </w:rPr>
      </w:pPr>
    </w:p>
    <w:p w:rsidR="009B1AE1" w:rsidRDefault="009B1AE1" w:rsidP="00781333">
      <w:pPr>
        <w:pStyle w:val="ListParagraph"/>
        <w:numPr>
          <w:ilvl w:val="0"/>
          <w:numId w:val="1"/>
        </w:numPr>
        <w:rPr>
          <w:rFonts w:cstheme="minorHAnsi"/>
        </w:rPr>
      </w:pPr>
      <w:r>
        <w:rPr>
          <w:rFonts w:cstheme="minorHAnsi"/>
        </w:rPr>
        <w:t>We have more students scoring</w:t>
      </w:r>
      <w:r w:rsidR="000B2BDA">
        <w:rPr>
          <w:rFonts w:cstheme="minorHAnsi"/>
        </w:rPr>
        <w:t xml:space="preserve"> in the Approaches Expectations and Does Not Meet Expectations than we ever had scoring Not Met</w:t>
      </w:r>
      <w:r w:rsidR="00EE65F4">
        <w:rPr>
          <w:rFonts w:cstheme="minorHAnsi"/>
        </w:rPr>
        <w:t xml:space="preserve"> on PASS</w:t>
      </w:r>
      <w:r w:rsidR="000B2BDA">
        <w:rPr>
          <w:rFonts w:cstheme="minorHAnsi"/>
        </w:rPr>
        <w:t xml:space="preserve">.  That’s </w:t>
      </w:r>
      <w:r>
        <w:rPr>
          <w:rFonts w:cstheme="minorHAnsi"/>
        </w:rPr>
        <w:t xml:space="preserve">because the </w:t>
      </w:r>
      <w:r w:rsidR="00000254">
        <w:rPr>
          <w:rFonts w:cstheme="minorHAnsi"/>
        </w:rPr>
        <w:t xml:space="preserve">goal as set by the Education Oversight Committee is college ready.  Will every SC student enroll in a 4 year college?  </w:t>
      </w:r>
      <w:r w:rsidR="000A7947">
        <w:rPr>
          <w:rFonts w:cstheme="minorHAnsi"/>
        </w:rPr>
        <w:t xml:space="preserve">No. </w:t>
      </w:r>
      <w:r w:rsidR="00000254">
        <w:rPr>
          <w:rFonts w:cstheme="minorHAnsi"/>
        </w:rPr>
        <w:t>Can a student be a successful citizen without a 4 year college</w:t>
      </w:r>
      <w:r w:rsidR="00BD1645">
        <w:rPr>
          <w:rFonts w:cstheme="minorHAnsi"/>
        </w:rPr>
        <w:t xml:space="preserve"> degree</w:t>
      </w:r>
      <w:r w:rsidR="00000254">
        <w:rPr>
          <w:rFonts w:cstheme="minorHAnsi"/>
        </w:rPr>
        <w:t xml:space="preserve">?  </w:t>
      </w:r>
      <w:r w:rsidR="000B2BDA">
        <w:rPr>
          <w:rFonts w:cstheme="minorHAnsi"/>
        </w:rPr>
        <w:t xml:space="preserve">Sure.  </w:t>
      </w:r>
      <w:r w:rsidR="00000254">
        <w:rPr>
          <w:rFonts w:cstheme="minorHAnsi"/>
        </w:rPr>
        <w:t xml:space="preserve">So, is an achievement </w:t>
      </w:r>
      <w:r w:rsidR="000B2BDA">
        <w:rPr>
          <w:rFonts w:cstheme="minorHAnsi"/>
        </w:rPr>
        <w:t>of Approaches</w:t>
      </w:r>
      <w:r w:rsidR="00000254">
        <w:rPr>
          <w:rFonts w:cstheme="minorHAnsi"/>
        </w:rPr>
        <w:t xml:space="preserve"> Expectations </w:t>
      </w:r>
      <w:r w:rsidR="000B2BDA">
        <w:rPr>
          <w:rFonts w:cstheme="minorHAnsi"/>
        </w:rPr>
        <w:t>p</w:t>
      </w:r>
      <w:r w:rsidR="000A7947">
        <w:rPr>
          <w:rFonts w:cstheme="minorHAnsi"/>
        </w:rPr>
        <w:t xml:space="preserve">retty darn good for some </w:t>
      </w:r>
      <w:r w:rsidR="000B2BDA">
        <w:rPr>
          <w:rFonts w:cstheme="minorHAnsi"/>
        </w:rPr>
        <w:t>students?  You bet!  Do we keep pushing?  Indeed.</w:t>
      </w:r>
    </w:p>
    <w:p w:rsidR="00EE5742" w:rsidRPr="00EE5742" w:rsidRDefault="00EE5742" w:rsidP="00EE5742">
      <w:pPr>
        <w:pStyle w:val="ListParagraph"/>
        <w:rPr>
          <w:rFonts w:cstheme="minorHAnsi"/>
        </w:rPr>
      </w:pPr>
    </w:p>
    <w:p w:rsidR="00EE5742" w:rsidRDefault="00EE5742" w:rsidP="00781333">
      <w:pPr>
        <w:pStyle w:val="ListParagraph"/>
        <w:numPr>
          <w:ilvl w:val="0"/>
          <w:numId w:val="1"/>
        </w:numPr>
        <w:rPr>
          <w:rFonts w:cstheme="minorHAnsi"/>
        </w:rPr>
      </w:pPr>
      <w:r>
        <w:rPr>
          <w:rFonts w:cstheme="minorHAnsi"/>
        </w:rPr>
        <w:t>ELA scores now include a separate Reading subscore.</w:t>
      </w:r>
    </w:p>
    <w:p w:rsidR="00EE5742" w:rsidRPr="00EE5742" w:rsidRDefault="00EE5742" w:rsidP="00EE5742">
      <w:pPr>
        <w:pStyle w:val="ListParagraph"/>
        <w:rPr>
          <w:rFonts w:cstheme="minorHAnsi"/>
        </w:rPr>
      </w:pPr>
    </w:p>
    <w:p w:rsidR="00EE5742" w:rsidRDefault="00EE5742" w:rsidP="00781333">
      <w:pPr>
        <w:pStyle w:val="ListParagraph"/>
        <w:numPr>
          <w:ilvl w:val="0"/>
          <w:numId w:val="1"/>
        </w:numPr>
        <w:rPr>
          <w:rFonts w:cstheme="minorHAnsi"/>
        </w:rPr>
      </w:pPr>
      <w:r>
        <w:rPr>
          <w:rFonts w:cstheme="minorHAnsi"/>
        </w:rPr>
        <w:t>Lexiles are still included and are based on the Reading score.  Quantiles are now reported for math, and provide similar measures for math.</w:t>
      </w:r>
    </w:p>
    <w:p w:rsidR="00E631AC" w:rsidRPr="00E631AC" w:rsidRDefault="00E631AC" w:rsidP="00E631AC">
      <w:pPr>
        <w:pStyle w:val="ListParagraph"/>
        <w:rPr>
          <w:rFonts w:cstheme="minorHAnsi"/>
        </w:rPr>
      </w:pPr>
    </w:p>
    <w:p w:rsidR="00E631AC" w:rsidRDefault="00E631AC" w:rsidP="00781333">
      <w:pPr>
        <w:pStyle w:val="ListParagraph"/>
        <w:numPr>
          <w:ilvl w:val="0"/>
          <w:numId w:val="1"/>
        </w:numPr>
        <w:rPr>
          <w:rFonts w:cstheme="minorHAnsi"/>
        </w:rPr>
      </w:pPr>
      <w:r>
        <w:rPr>
          <w:rFonts w:cstheme="minorHAnsi"/>
        </w:rPr>
        <w:t>SC PASS Science reports have moved to four performance levels, wh</w:t>
      </w:r>
      <w:r w:rsidR="00EA1CAD">
        <w:rPr>
          <w:rFonts w:cstheme="minorHAnsi"/>
        </w:rPr>
        <w:t>ile SC PASS Social Studies performance levels have not changed.</w:t>
      </w:r>
    </w:p>
    <w:p w:rsidR="000A7947" w:rsidRPr="000A7947" w:rsidRDefault="000A7947" w:rsidP="000A7947">
      <w:pPr>
        <w:pStyle w:val="ListParagraph"/>
        <w:rPr>
          <w:rFonts w:cstheme="minorHAnsi"/>
        </w:rPr>
      </w:pPr>
    </w:p>
    <w:p w:rsidR="000A7947" w:rsidRDefault="000A7947" w:rsidP="00781333">
      <w:pPr>
        <w:pStyle w:val="ListParagraph"/>
        <w:numPr>
          <w:ilvl w:val="0"/>
          <w:numId w:val="1"/>
        </w:numPr>
        <w:rPr>
          <w:rFonts w:cstheme="minorHAnsi"/>
        </w:rPr>
      </w:pPr>
      <w:r>
        <w:rPr>
          <w:rFonts w:cstheme="minorHAnsi"/>
        </w:rPr>
        <w:t>Can share individual scores with parents.  Can share individual and summary data with faculty.  No summary data to the public until embargo ends Oct. 2.  ISR’s posted Sept 12. Paper reports shipped Oct 12.</w:t>
      </w:r>
    </w:p>
    <w:p w:rsidR="005C4F81" w:rsidRDefault="005C4F81" w:rsidP="005C4F81">
      <w:pPr>
        <w:rPr>
          <w:sz w:val="28"/>
          <w:szCs w:val="28"/>
        </w:rPr>
      </w:pPr>
      <w:r>
        <w:rPr>
          <w:sz w:val="28"/>
          <w:szCs w:val="28"/>
        </w:rPr>
        <w:lastRenderedPageBreak/>
        <w:t>QUICK Look …district wide</w:t>
      </w:r>
    </w:p>
    <w:p w:rsidR="005C4F81" w:rsidRDefault="005C4F81" w:rsidP="005C4F81">
      <w:pPr>
        <w:rPr>
          <w:b/>
          <w:sz w:val="28"/>
          <w:szCs w:val="28"/>
        </w:rPr>
      </w:pPr>
      <w:r>
        <w:rPr>
          <w:b/>
          <w:sz w:val="28"/>
          <w:szCs w:val="28"/>
        </w:rPr>
        <w:t>SC Ready 2017, grades 3-8…SC PASS 2017, grades 4-8</w:t>
      </w:r>
    </w:p>
    <w:p w:rsidR="005C4F81" w:rsidRDefault="005C4F81" w:rsidP="005C4F81">
      <w:pPr>
        <w:rPr>
          <w:sz w:val="24"/>
          <w:szCs w:val="24"/>
          <w:u w:val="single"/>
        </w:rPr>
        <w:sectPr w:rsidR="005C4F81">
          <w:pgSz w:w="12240" w:h="15840"/>
          <w:pgMar w:top="1440" w:right="1440" w:bottom="1440" w:left="1440" w:header="720" w:footer="720" w:gutter="0"/>
          <w:cols w:space="720"/>
        </w:sectPr>
      </w:pPr>
    </w:p>
    <w:p w:rsidR="005C4F81" w:rsidRDefault="005C4F81" w:rsidP="005C4F81">
      <w:pPr>
        <w:rPr>
          <w:sz w:val="24"/>
          <w:szCs w:val="24"/>
          <w:u w:val="single"/>
        </w:rPr>
      </w:pPr>
    </w:p>
    <w:p w:rsidR="005C4F81" w:rsidRDefault="005C4F81" w:rsidP="005C4F81">
      <w:pPr>
        <w:rPr>
          <w:b/>
          <w:sz w:val="24"/>
          <w:szCs w:val="24"/>
          <w:u w:val="single"/>
        </w:rPr>
      </w:pPr>
      <w:r>
        <w:rPr>
          <w:b/>
          <w:sz w:val="24"/>
          <w:szCs w:val="24"/>
          <w:u w:val="single"/>
        </w:rPr>
        <w:t>ELA, gr 3-8</w:t>
      </w:r>
    </w:p>
    <w:p w:rsidR="005C4F81" w:rsidRDefault="005C4F81" w:rsidP="005C4F81">
      <w:pPr>
        <w:rPr>
          <w:sz w:val="24"/>
          <w:szCs w:val="24"/>
        </w:rPr>
      </w:pPr>
      <w:r>
        <w:rPr>
          <w:sz w:val="24"/>
          <w:szCs w:val="24"/>
        </w:rPr>
        <w:t>Exceeds---28%</w:t>
      </w:r>
    </w:p>
    <w:p w:rsidR="005C4F81" w:rsidRDefault="005C4F81" w:rsidP="005C4F81">
      <w:pPr>
        <w:rPr>
          <w:sz w:val="24"/>
          <w:szCs w:val="24"/>
        </w:rPr>
      </w:pPr>
      <w:r>
        <w:rPr>
          <w:sz w:val="24"/>
          <w:szCs w:val="24"/>
        </w:rPr>
        <w:t>Met---36%</w:t>
      </w:r>
    </w:p>
    <w:p w:rsidR="005C4F81" w:rsidRDefault="005C4F81" w:rsidP="005C4F81">
      <w:pPr>
        <w:rPr>
          <w:sz w:val="24"/>
          <w:szCs w:val="24"/>
        </w:rPr>
      </w:pPr>
      <w:r>
        <w:rPr>
          <w:sz w:val="24"/>
          <w:szCs w:val="24"/>
        </w:rPr>
        <w:t>Approaches---26%</w:t>
      </w:r>
    </w:p>
    <w:p w:rsidR="005C4F81" w:rsidRDefault="005C4F81" w:rsidP="005C4F81">
      <w:pPr>
        <w:rPr>
          <w:sz w:val="24"/>
          <w:szCs w:val="24"/>
        </w:rPr>
      </w:pPr>
      <w:r>
        <w:rPr>
          <w:sz w:val="24"/>
          <w:szCs w:val="24"/>
        </w:rPr>
        <w:t>Not Met---10%</w:t>
      </w:r>
    </w:p>
    <w:p w:rsidR="005C4F81" w:rsidRDefault="005C4F81" w:rsidP="005C4F81">
      <w:pPr>
        <w:rPr>
          <w:sz w:val="24"/>
          <w:szCs w:val="24"/>
          <w:u w:val="single"/>
        </w:rPr>
      </w:pPr>
    </w:p>
    <w:p w:rsidR="005C4F81" w:rsidRDefault="005C4F81" w:rsidP="005C4F81">
      <w:pPr>
        <w:rPr>
          <w:b/>
          <w:sz w:val="24"/>
          <w:szCs w:val="24"/>
          <w:u w:val="single"/>
        </w:rPr>
      </w:pPr>
      <w:r>
        <w:rPr>
          <w:b/>
          <w:sz w:val="24"/>
          <w:szCs w:val="24"/>
          <w:u w:val="single"/>
        </w:rPr>
        <w:t>Math, gr 3-8</w:t>
      </w:r>
    </w:p>
    <w:p w:rsidR="005C4F81" w:rsidRDefault="005C4F81" w:rsidP="005C4F81">
      <w:pPr>
        <w:rPr>
          <w:sz w:val="24"/>
          <w:szCs w:val="24"/>
        </w:rPr>
      </w:pPr>
      <w:r>
        <w:rPr>
          <w:sz w:val="24"/>
          <w:szCs w:val="24"/>
        </w:rPr>
        <w:t>Exceeds---40%</w:t>
      </w:r>
    </w:p>
    <w:p w:rsidR="005C4F81" w:rsidRDefault="005C4F81" w:rsidP="005C4F81">
      <w:pPr>
        <w:rPr>
          <w:sz w:val="24"/>
          <w:szCs w:val="24"/>
        </w:rPr>
      </w:pPr>
      <w:r>
        <w:rPr>
          <w:sz w:val="24"/>
          <w:szCs w:val="24"/>
        </w:rPr>
        <w:t>Met---29%</w:t>
      </w:r>
    </w:p>
    <w:p w:rsidR="005C4F81" w:rsidRDefault="005C4F81" w:rsidP="005C4F81">
      <w:pPr>
        <w:rPr>
          <w:sz w:val="24"/>
          <w:szCs w:val="24"/>
        </w:rPr>
      </w:pPr>
      <w:r>
        <w:rPr>
          <w:sz w:val="24"/>
          <w:szCs w:val="24"/>
        </w:rPr>
        <w:t>Approaches---22%</w:t>
      </w:r>
    </w:p>
    <w:p w:rsidR="005C4F81" w:rsidRDefault="005C4F81" w:rsidP="005C4F81">
      <w:pPr>
        <w:rPr>
          <w:sz w:val="24"/>
          <w:szCs w:val="24"/>
        </w:rPr>
      </w:pPr>
      <w:r>
        <w:rPr>
          <w:sz w:val="24"/>
          <w:szCs w:val="24"/>
        </w:rPr>
        <w:t>Not Met---9%</w:t>
      </w:r>
    </w:p>
    <w:p w:rsidR="005C4F81" w:rsidRDefault="005C4F81" w:rsidP="005C4F81">
      <w:pPr>
        <w:rPr>
          <w:sz w:val="24"/>
          <w:szCs w:val="24"/>
        </w:rPr>
      </w:pPr>
    </w:p>
    <w:p w:rsidR="005C4F81" w:rsidRDefault="005C4F81" w:rsidP="005C4F81">
      <w:pPr>
        <w:rPr>
          <w:b/>
          <w:sz w:val="24"/>
          <w:szCs w:val="24"/>
          <w:u w:val="single"/>
        </w:rPr>
      </w:pPr>
      <w:r>
        <w:rPr>
          <w:b/>
          <w:sz w:val="24"/>
          <w:szCs w:val="24"/>
          <w:u w:val="single"/>
        </w:rPr>
        <w:t>Science, gr 4-8</w:t>
      </w:r>
    </w:p>
    <w:p w:rsidR="005C4F81" w:rsidRDefault="005C4F81" w:rsidP="005C4F81">
      <w:pPr>
        <w:rPr>
          <w:sz w:val="24"/>
          <w:szCs w:val="24"/>
        </w:rPr>
      </w:pPr>
      <w:r>
        <w:rPr>
          <w:sz w:val="24"/>
          <w:szCs w:val="24"/>
        </w:rPr>
        <w:t>Exceeds---46%</w:t>
      </w:r>
    </w:p>
    <w:p w:rsidR="005C4F81" w:rsidRDefault="005C4F81" w:rsidP="005C4F81">
      <w:pPr>
        <w:rPr>
          <w:sz w:val="24"/>
          <w:szCs w:val="24"/>
        </w:rPr>
      </w:pPr>
      <w:r>
        <w:rPr>
          <w:sz w:val="24"/>
          <w:szCs w:val="24"/>
        </w:rPr>
        <w:t>Met---30%</w:t>
      </w:r>
    </w:p>
    <w:p w:rsidR="005C4F81" w:rsidRDefault="005C4F81" w:rsidP="005C4F81">
      <w:pPr>
        <w:rPr>
          <w:sz w:val="24"/>
          <w:szCs w:val="24"/>
        </w:rPr>
      </w:pPr>
      <w:r>
        <w:rPr>
          <w:sz w:val="24"/>
          <w:szCs w:val="24"/>
        </w:rPr>
        <w:t>Approaches---15%</w:t>
      </w:r>
    </w:p>
    <w:p w:rsidR="005C4F81" w:rsidRDefault="005C4F81" w:rsidP="005C4F81">
      <w:pPr>
        <w:rPr>
          <w:sz w:val="24"/>
          <w:szCs w:val="24"/>
        </w:rPr>
      </w:pPr>
      <w:r>
        <w:rPr>
          <w:sz w:val="24"/>
          <w:szCs w:val="24"/>
        </w:rPr>
        <w:t>Not Met---9%</w:t>
      </w:r>
    </w:p>
    <w:p w:rsidR="005C4F81" w:rsidRDefault="005C4F81" w:rsidP="005C4F81">
      <w:pPr>
        <w:rPr>
          <w:sz w:val="24"/>
          <w:szCs w:val="24"/>
        </w:rPr>
      </w:pPr>
    </w:p>
    <w:p w:rsidR="005C4F81" w:rsidRDefault="005C4F81" w:rsidP="005C4F81">
      <w:pPr>
        <w:rPr>
          <w:b/>
          <w:sz w:val="24"/>
          <w:szCs w:val="24"/>
          <w:u w:val="single"/>
        </w:rPr>
      </w:pPr>
      <w:r>
        <w:rPr>
          <w:b/>
          <w:sz w:val="24"/>
          <w:szCs w:val="24"/>
          <w:u w:val="single"/>
        </w:rPr>
        <w:t>Social Studies, gr 4-8</w:t>
      </w:r>
    </w:p>
    <w:p w:rsidR="005C4F81" w:rsidRDefault="005C4F81" w:rsidP="005C4F81">
      <w:pPr>
        <w:rPr>
          <w:sz w:val="24"/>
          <w:szCs w:val="24"/>
        </w:rPr>
      </w:pPr>
      <w:r>
        <w:rPr>
          <w:sz w:val="24"/>
          <w:szCs w:val="24"/>
        </w:rPr>
        <w:t>Exceeds---59%</w:t>
      </w:r>
    </w:p>
    <w:p w:rsidR="005C4F81" w:rsidRDefault="005C4F81" w:rsidP="005C4F81">
      <w:pPr>
        <w:rPr>
          <w:sz w:val="24"/>
          <w:szCs w:val="24"/>
        </w:rPr>
      </w:pPr>
      <w:r>
        <w:rPr>
          <w:sz w:val="24"/>
          <w:szCs w:val="24"/>
        </w:rPr>
        <w:t>Met---31%</w:t>
      </w:r>
    </w:p>
    <w:p w:rsidR="005C4F81" w:rsidRDefault="005C4F81" w:rsidP="005C4F81">
      <w:pPr>
        <w:rPr>
          <w:sz w:val="24"/>
          <w:szCs w:val="24"/>
        </w:rPr>
      </w:pPr>
      <w:r>
        <w:rPr>
          <w:sz w:val="24"/>
          <w:szCs w:val="24"/>
        </w:rPr>
        <w:t>Not Met---10%</w:t>
      </w:r>
    </w:p>
    <w:p w:rsidR="005C4F81" w:rsidRDefault="005C4F81" w:rsidP="005C4F81">
      <w:pPr>
        <w:pStyle w:val="ListParagraph"/>
        <w:rPr>
          <w:rFonts w:cstheme="minorHAnsi"/>
        </w:rPr>
      </w:pPr>
    </w:p>
    <w:p w:rsidR="00EA1CAD" w:rsidRPr="00EA1CAD" w:rsidRDefault="00EA1CAD" w:rsidP="00EA1CAD">
      <w:pPr>
        <w:pStyle w:val="ListParagraph"/>
        <w:rPr>
          <w:rFonts w:cstheme="minorHAnsi"/>
        </w:rPr>
      </w:pPr>
    </w:p>
    <w:p w:rsidR="00EA1CAD" w:rsidRDefault="00EA1CAD" w:rsidP="00EA1CAD">
      <w:pPr>
        <w:rPr>
          <w:rFonts w:cstheme="minorHAnsi"/>
        </w:rPr>
      </w:pPr>
    </w:p>
    <w:p w:rsidR="00EA1CAD" w:rsidRPr="00EA1CAD" w:rsidRDefault="00EA1CAD" w:rsidP="00EA1CAD">
      <w:pPr>
        <w:rPr>
          <w:rFonts w:ascii="Verdana" w:hAnsi="Verdana" w:cstheme="minorHAnsi"/>
          <w:b/>
          <w:sz w:val="24"/>
          <w:szCs w:val="24"/>
        </w:rPr>
      </w:pPr>
    </w:p>
    <w:p w:rsidR="00EA1CAD" w:rsidRPr="00EA1CAD" w:rsidRDefault="00EA1CAD" w:rsidP="00EA1CAD">
      <w:pPr>
        <w:spacing w:before="150" w:after="150" w:line="240" w:lineRule="auto"/>
        <w:outlineLvl w:val="3"/>
        <w:rPr>
          <w:rFonts w:ascii="Verdana" w:eastAsia="Times New Roman" w:hAnsi="Verdana" w:cs="Arial"/>
          <w:b/>
          <w:color w:val="666666"/>
          <w:sz w:val="24"/>
          <w:szCs w:val="24"/>
          <w:lang w:val="en"/>
        </w:rPr>
      </w:pPr>
      <w:r w:rsidRPr="00EA1CAD">
        <w:rPr>
          <w:rFonts w:ascii="Verdana" w:eastAsia="Times New Roman" w:hAnsi="Verdana" w:cs="Arial"/>
          <w:b/>
          <w:color w:val="666666"/>
          <w:sz w:val="24"/>
          <w:szCs w:val="24"/>
          <w:lang w:val="en"/>
        </w:rPr>
        <w:t>SC READY Performance Level Scale Score Cuts for Spring 2017</w:t>
      </w:r>
    </w:p>
    <w:p w:rsidR="00EA1CAD" w:rsidRPr="00EA1CAD" w:rsidRDefault="00EA1CAD" w:rsidP="00EA1CAD">
      <w:pPr>
        <w:spacing w:before="150" w:after="150" w:line="240" w:lineRule="auto"/>
        <w:outlineLvl w:val="3"/>
        <w:rPr>
          <w:rFonts w:ascii="Verdana" w:eastAsia="Times New Roman" w:hAnsi="Verdana" w:cs="Arial"/>
          <w:b/>
          <w:color w:val="666666"/>
          <w:sz w:val="24"/>
          <w:szCs w:val="24"/>
          <w:lang w:val="en"/>
        </w:rPr>
      </w:pPr>
      <w:r w:rsidRPr="00EA1CAD">
        <w:rPr>
          <w:rFonts w:ascii="Verdana" w:eastAsia="Times New Roman" w:hAnsi="Verdana" w:cs="Arial"/>
          <w:b/>
          <w:color w:val="666666"/>
          <w:sz w:val="24"/>
          <w:szCs w:val="24"/>
          <w:lang w:val="en"/>
        </w:rPr>
        <w:t> </w:t>
      </w:r>
    </w:p>
    <w:p w:rsidR="00EA1CAD" w:rsidRPr="00EA1CAD" w:rsidRDefault="00EA1CAD" w:rsidP="00EA1CAD">
      <w:pPr>
        <w:spacing w:before="150" w:after="150" w:line="240" w:lineRule="auto"/>
        <w:outlineLvl w:val="4"/>
        <w:rPr>
          <w:rFonts w:ascii="Verdana" w:eastAsia="Times New Roman" w:hAnsi="Verdana" w:cs="Arial"/>
          <w:b/>
          <w:color w:val="666666"/>
          <w:sz w:val="24"/>
          <w:szCs w:val="24"/>
          <w:lang w:val="en"/>
        </w:rPr>
      </w:pPr>
      <w:r w:rsidRPr="00EA1CAD">
        <w:rPr>
          <w:rFonts w:ascii="Verdana" w:eastAsia="Times New Roman" w:hAnsi="Verdana" w:cs="Arial"/>
          <w:b/>
          <w:color w:val="666666"/>
          <w:sz w:val="24"/>
          <w:szCs w:val="24"/>
          <w:lang w:val="en"/>
        </w:rPr>
        <w:t>ELA Vertical Scale Score Ranges</w:t>
      </w:r>
    </w:p>
    <w:tbl>
      <w:tblPr>
        <w:tblW w:w="7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7"/>
        <w:gridCol w:w="1586"/>
        <w:gridCol w:w="1872"/>
        <w:gridCol w:w="1516"/>
        <w:gridCol w:w="1604"/>
      </w:tblGrid>
      <w:tr w:rsidR="00EA1CAD" w:rsidRPr="00EA1CAD" w:rsidTr="00EA1CAD">
        <w:trPr>
          <w:trHeight w:val="330"/>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Grade</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Does Not Meet</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Approaches</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Meets</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Exceeds</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3</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100-358</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359-451</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452-539</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540-825</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100-418</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419-508</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509-592</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593-850</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225"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100-449</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450-557</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558-652</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653-875</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100-454</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455-575</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576-667</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668-900</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225"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7</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100-511</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512-614</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615-704</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705-925</w:t>
            </w:r>
          </w:p>
        </w:tc>
      </w:tr>
      <w:tr w:rsidR="00EA1CAD" w:rsidRPr="00EA1CAD" w:rsidTr="00EA1CAD">
        <w:trPr>
          <w:trHeight w:val="375"/>
          <w:tblCellSpacing w:w="0" w:type="dxa"/>
        </w:trPr>
        <w:tc>
          <w:tcPr>
            <w:tcW w:w="6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8</w:t>
            </w:r>
          </w:p>
        </w:tc>
        <w:tc>
          <w:tcPr>
            <w:tcW w:w="136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100-537</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538-642</w:t>
            </w:r>
          </w:p>
        </w:tc>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643-737</w:t>
            </w:r>
          </w:p>
        </w:tc>
        <w:tc>
          <w:tcPr>
            <w:tcW w:w="138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738-950</w:t>
            </w:r>
          </w:p>
        </w:tc>
      </w:tr>
    </w:tbl>
    <w:p w:rsidR="00EA1CAD" w:rsidRPr="00EA1CAD" w:rsidRDefault="00EA1CAD" w:rsidP="00EA1CAD">
      <w:pPr>
        <w:spacing w:before="150" w:after="150" w:line="240" w:lineRule="auto"/>
        <w:outlineLvl w:val="4"/>
        <w:rPr>
          <w:rFonts w:ascii="Verdana" w:eastAsia="Times New Roman" w:hAnsi="Verdana" w:cs="Arial"/>
          <w:b/>
          <w:color w:val="666666"/>
          <w:sz w:val="24"/>
          <w:szCs w:val="24"/>
          <w:lang w:val="en"/>
        </w:rPr>
      </w:pPr>
      <w:r w:rsidRPr="00EA1CAD">
        <w:rPr>
          <w:rFonts w:ascii="Verdana" w:eastAsia="Times New Roman" w:hAnsi="Verdana" w:cs="Arial"/>
          <w:b/>
          <w:color w:val="666666"/>
          <w:sz w:val="24"/>
          <w:szCs w:val="24"/>
          <w:lang w:val="en"/>
        </w:rPr>
        <w:br/>
        <w:t>Mathematics Vertical Scale Score Ranges</w:t>
      </w:r>
    </w:p>
    <w:tbl>
      <w:tblPr>
        <w:tblW w:w="7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
        <w:gridCol w:w="1565"/>
        <w:gridCol w:w="1867"/>
        <w:gridCol w:w="1617"/>
        <w:gridCol w:w="1547"/>
      </w:tblGrid>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Grade</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Does Not Meet</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Approaches</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Meets</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Exceeds</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100-359</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360-437</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438-543</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544-825</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100-401</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402-481</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482-562</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563-850</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100-447</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448-535</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536-621</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622-875</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100-453</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454-542</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543-627</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628-900</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7</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100-487</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488-577</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578-649</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650-925</w:t>
            </w:r>
          </w:p>
        </w:tc>
      </w:tr>
      <w:tr w:rsidR="00EA1CAD" w:rsidRPr="00EA1CAD" w:rsidTr="00EA1CAD">
        <w:trPr>
          <w:trHeight w:val="37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before="100" w:beforeAutospacing="1" w:after="100" w:afterAutospacing="1"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8</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100-526</w:t>
            </w:r>
          </w:p>
        </w:tc>
        <w:tc>
          <w:tcPr>
            <w:tcW w:w="1170"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527-614</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615-683</w:t>
            </w:r>
          </w:p>
        </w:tc>
        <w:tc>
          <w:tcPr>
            <w:tcW w:w="1335" w:type="dxa"/>
            <w:tcBorders>
              <w:top w:val="outset" w:sz="6" w:space="0" w:color="auto"/>
              <w:left w:val="outset" w:sz="6" w:space="0" w:color="auto"/>
              <w:bottom w:val="outset" w:sz="6" w:space="0" w:color="auto"/>
              <w:right w:val="outset" w:sz="6" w:space="0" w:color="auto"/>
            </w:tcBorders>
            <w:shd w:val="clear" w:color="auto" w:fill="auto"/>
            <w:hideMark/>
          </w:tcPr>
          <w:p w:rsidR="00EA1CAD" w:rsidRPr="00EA1CAD" w:rsidRDefault="00EA1CAD" w:rsidP="00EA1CAD">
            <w:pPr>
              <w:spacing w:after="0" w:line="377" w:lineRule="atLeast"/>
              <w:jc w:val="center"/>
              <w:rPr>
                <w:rFonts w:ascii="Verdana" w:eastAsia="Times New Roman" w:hAnsi="Verdana" w:cs="Times New Roman"/>
                <w:b/>
                <w:color w:val="666666"/>
                <w:sz w:val="24"/>
                <w:szCs w:val="24"/>
              </w:rPr>
            </w:pPr>
            <w:r w:rsidRPr="00EA1CAD">
              <w:rPr>
                <w:rFonts w:ascii="Verdana" w:eastAsia="Times New Roman" w:hAnsi="Verdana" w:cs="Times New Roman"/>
                <w:b/>
                <w:color w:val="666666"/>
                <w:sz w:val="24"/>
                <w:szCs w:val="24"/>
              </w:rPr>
              <w:t>684-950</w:t>
            </w:r>
          </w:p>
        </w:tc>
      </w:tr>
    </w:tbl>
    <w:p w:rsidR="00EA1CAD" w:rsidRDefault="00EA1CAD" w:rsidP="00EA1CAD">
      <w:pPr>
        <w:rPr>
          <w:rFonts w:ascii="Verdana" w:hAnsi="Verdana" w:cstheme="minorHAnsi"/>
          <w:sz w:val="24"/>
          <w:szCs w:val="24"/>
        </w:rPr>
      </w:pPr>
    </w:p>
    <w:p w:rsidR="00EA1CAD" w:rsidRDefault="00EA1CAD" w:rsidP="00EA1CAD">
      <w:pPr>
        <w:rPr>
          <w:rFonts w:ascii="Verdana" w:hAnsi="Verdana" w:cstheme="minorHAnsi"/>
          <w:sz w:val="24"/>
          <w:szCs w:val="24"/>
        </w:rPr>
      </w:pPr>
      <w:r>
        <w:rPr>
          <w:rFonts w:ascii="Verdana" w:hAnsi="Verdana" w:cstheme="minorHAnsi"/>
          <w:sz w:val="24"/>
          <w:szCs w:val="24"/>
        </w:rPr>
        <w:br w:type="page"/>
      </w:r>
    </w:p>
    <w:p w:rsidR="00490A6C" w:rsidRPr="00490A6C" w:rsidRDefault="00490A6C" w:rsidP="00490A6C">
      <w:pPr>
        <w:shd w:val="clear" w:color="auto" w:fill="FFFFFF"/>
        <w:spacing w:before="150" w:after="150" w:line="240" w:lineRule="auto"/>
        <w:outlineLvl w:val="3"/>
        <w:rPr>
          <w:rFonts w:ascii="ralewaymedium" w:eastAsia="Times New Roman" w:hAnsi="ralewaymedium" w:cs="Times New Roman"/>
          <w:color w:val="666666"/>
          <w:sz w:val="27"/>
          <w:szCs w:val="27"/>
        </w:rPr>
      </w:pPr>
      <w:r>
        <w:rPr>
          <w:rFonts w:ascii="ralewayextrabold" w:eastAsia="Times New Roman" w:hAnsi="ralewayextrabold" w:cs="Times New Roman"/>
          <w:color w:val="666666"/>
          <w:sz w:val="27"/>
          <w:szCs w:val="27"/>
          <w:u w:val="single"/>
        </w:rPr>
        <w:lastRenderedPageBreak/>
        <w:t xml:space="preserve">Science </w:t>
      </w:r>
      <w:r w:rsidRPr="00490A6C">
        <w:rPr>
          <w:rFonts w:ascii="ralewayextrabold" w:eastAsia="Times New Roman" w:hAnsi="ralewayextrabold" w:cs="Times New Roman"/>
          <w:color w:val="666666"/>
          <w:sz w:val="27"/>
          <w:szCs w:val="27"/>
          <w:u w:val="single"/>
        </w:rPr>
        <w:t>Scale Scores</w:t>
      </w:r>
    </w:p>
    <w:p w:rsidR="00490A6C" w:rsidRPr="00490A6C" w:rsidRDefault="00490A6C" w:rsidP="00490A6C">
      <w:pPr>
        <w:shd w:val="clear" w:color="auto" w:fill="FFFFFF"/>
        <w:spacing w:after="225" w:line="377" w:lineRule="atLeast"/>
        <w:rPr>
          <w:rFonts w:ascii="ralewaymedium" w:eastAsia="Times New Roman" w:hAnsi="ralewaymedium" w:cs="Times New Roman"/>
          <w:color w:val="666666"/>
          <w:sz w:val="21"/>
          <w:szCs w:val="21"/>
        </w:rPr>
      </w:pPr>
      <w:r w:rsidRPr="00490A6C">
        <w:rPr>
          <w:rFonts w:ascii="ralewaymedium" w:eastAsia="Times New Roman" w:hAnsi="ralewaymedium" w:cs="Times New Roman"/>
          <w:color w:val="666666"/>
          <w:sz w:val="21"/>
          <w:szCs w:val="21"/>
        </w:rPr>
        <w:t>A student’s overall performance level is based on the scale score attained by the student. The scale scores for SCPASS science are reported as four-digit numbers. The first digit is always “1.” The second digit is determined by the tested grade. Possible scale scores on a grade 4 science test, for example, range from 1370 to 1530, with most scores falling in the 1400s. For a grade 5 science test in 2017, the possible scale score range is 1470–1630, and so on through grade 8.</w:t>
      </w:r>
    </w:p>
    <w:p w:rsidR="00490A6C" w:rsidRPr="00490A6C" w:rsidRDefault="00490A6C" w:rsidP="00490A6C">
      <w:pPr>
        <w:shd w:val="clear" w:color="auto" w:fill="FFFFFF"/>
        <w:spacing w:after="225" w:line="377" w:lineRule="atLeast"/>
        <w:rPr>
          <w:rFonts w:ascii="ralewaymedium" w:eastAsia="Times New Roman" w:hAnsi="ralewaymedium" w:cs="Times New Roman"/>
          <w:color w:val="666666"/>
          <w:sz w:val="21"/>
          <w:szCs w:val="21"/>
        </w:rPr>
      </w:pPr>
      <w:r w:rsidRPr="00490A6C">
        <w:rPr>
          <w:rFonts w:ascii="ralewaymedium" w:eastAsia="Times New Roman" w:hAnsi="ralewaymedium" w:cs="Times New Roman"/>
          <w:color w:val="666666"/>
          <w:sz w:val="21"/>
          <w:szCs w:val="21"/>
        </w:rPr>
        <w:t>For spring 2017, because of the overlap in score ranges between adjacent grades, it is possible to receive the same numeric score in different grades. For example, students in both grades 4 and 5 could receive a scale score of 1500—but that score would be interpreted quite differently in those two grades. For a fourth-grade student, 1500 would be a very high score, corresponding to a performance level of “Exceeds Expectations.” In contrast, for a fifth-grade student, 1500 would be a low score, falling into the “Does Not Meet Expectations” classification.</w:t>
      </w:r>
    </w:p>
    <w:p w:rsidR="00490A6C" w:rsidRPr="00490A6C" w:rsidRDefault="00490A6C" w:rsidP="00490A6C">
      <w:pPr>
        <w:shd w:val="clear" w:color="auto" w:fill="FFFFFF"/>
        <w:spacing w:after="225" w:line="377" w:lineRule="atLeast"/>
        <w:rPr>
          <w:rFonts w:ascii="ralewaymedium" w:eastAsia="Times New Roman" w:hAnsi="ralewaymedium" w:cs="Times New Roman"/>
          <w:color w:val="666666"/>
          <w:sz w:val="21"/>
          <w:szCs w:val="21"/>
        </w:rPr>
      </w:pPr>
      <w:r w:rsidRPr="00490A6C">
        <w:rPr>
          <w:rFonts w:ascii="ralewaymedium" w:eastAsia="Times New Roman" w:hAnsi="ralewaymedium" w:cs="Times New Roman"/>
          <w:color w:val="666666"/>
          <w:sz w:val="21"/>
          <w:szCs w:val="21"/>
        </w:rPr>
        <w:t>The following table displays the scale score ranges that correspond to the four overall performance levels for grades 4–8 science.</w:t>
      </w:r>
    </w:p>
    <w:p w:rsidR="00490A6C" w:rsidRPr="00EA1CAD" w:rsidRDefault="00490A6C" w:rsidP="00EA1CAD">
      <w:pPr>
        <w:rPr>
          <w:rFonts w:ascii="Verdana" w:hAnsi="Verdana"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0"/>
        <w:gridCol w:w="1860"/>
        <w:gridCol w:w="1875"/>
        <w:gridCol w:w="1860"/>
        <w:gridCol w:w="1875"/>
      </w:tblGrid>
      <w:tr w:rsidR="00C6111F" w:rsidRPr="00C6111F" w:rsidTr="00B653E3">
        <w:tc>
          <w:tcPr>
            <w:tcW w:w="8370" w:type="dxa"/>
            <w:gridSpan w:val="5"/>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SCPASS Science Scale Score Ranges for 2016-17</w:t>
            </w:r>
          </w:p>
        </w:tc>
      </w:tr>
      <w:tr w:rsidR="00C6111F" w:rsidRPr="00C6111F" w:rsidTr="00B653E3">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Grade</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Does Not Meet</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Approaches</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Meets</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extrabold" w:eastAsia="Times New Roman" w:hAnsi="ralewayextrabold" w:cs="Times New Roman"/>
                <w:sz w:val="21"/>
                <w:szCs w:val="21"/>
              </w:rPr>
              <w:t>Exceeds</w:t>
            </w:r>
          </w:p>
        </w:tc>
      </w:tr>
      <w:tr w:rsidR="00C6111F" w:rsidRPr="00C6111F" w:rsidTr="00B653E3">
        <w:trPr>
          <w:trHeight w:val="465"/>
        </w:trPr>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4</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1370-1433</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1434-1449</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1450-1467</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1468-1530</w:t>
            </w:r>
          </w:p>
        </w:tc>
      </w:tr>
      <w:tr w:rsidR="00C6111F" w:rsidRPr="00C6111F" w:rsidTr="00B653E3">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5</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1470-1533</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1534-1549</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1550-1564</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1565-1630</w:t>
            </w:r>
          </w:p>
        </w:tc>
      </w:tr>
      <w:tr w:rsidR="00C6111F" w:rsidRPr="00C6111F" w:rsidTr="00B653E3">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6</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1570-1636</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1637-1649</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1650-1664</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1665-1730</w:t>
            </w:r>
          </w:p>
        </w:tc>
      </w:tr>
      <w:tr w:rsidR="00C6111F" w:rsidRPr="00C6111F" w:rsidTr="00B653E3">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7</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1670-1736</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1737-1749</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1750-1763</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1764-1830</w:t>
            </w:r>
          </w:p>
        </w:tc>
      </w:tr>
      <w:tr w:rsidR="00C6111F" w:rsidRPr="00C6111F" w:rsidTr="00B653E3">
        <w:tc>
          <w:tcPr>
            <w:tcW w:w="90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8</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1770-1834</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1835-1849</w:t>
            </w:r>
          </w:p>
        </w:tc>
        <w:tc>
          <w:tcPr>
            <w:tcW w:w="1860"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1850-1867</w:t>
            </w:r>
          </w:p>
        </w:tc>
        <w:tc>
          <w:tcPr>
            <w:tcW w:w="1875" w:type="dxa"/>
            <w:shd w:val="clear" w:color="auto" w:fill="FFFFFF"/>
            <w:tcMar>
              <w:top w:w="150" w:type="dxa"/>
              <w:left w:w="150" w:type="dxa"/>
              <w:bottom w:w="150" w:type="dxa"/>
              <w:right w:w="150" w:type="dxa"/>
            </w:tcMar>
            <w:hideMark/>
          </w:tcPr>
          <w:p w:rsidR="00C6111F" w:rsidRPr="00C6111F" w:rsidRDefault="00C6111F" w:rsidP="00C6111F">
            <w:pPr>
              <w:spacing w:after="225" w:line="377" w:lineRule="atLeast"/>
              <w:jc w:val="center"/>
              <w:rPr>
                <w:rFonts w:ascii="ralewaymedium" w:eastAsia="Times New Roman" w:hAnsi="ralewaymedium" w:cs="Times New Roman"/>
                <w:sz w:val="21"/>
                <w:szCs w:val="21"/>
              </w:rPr>
            </w:pPr>
            <w:r w:rsidRPr="00C6111F">
              <w:rPr>
                <w:rFonts w:ascii="ralewaymedium" w:eastAsia="Times New Roman" w:hAnsi="ralewaymedium" w:cs="Times New Roman"/>
                <w:sz w:val="21"/>
                <w:szCs w:val="21"/>
              </w:rPr>
              <w:t>1868-1930</w:t>
            </w:r>
          </w:p>
        </w:tc>
      </w:tr>
    </w:tbl>
    <w:p w:rsidR="00490A6C" w:rsidRPr="00490A6C" w:rsidRDefault="00490A6C" w:rsidP="00490A6C">
      <w:pPr>
        <w:shd w:val="clear" w:color="auto" w:fill="FFFFFF"/>
        <w:spacing w:before="150" w:after="150" w:line="240" w:lineRule="auto"/>
        <w:outlineLvl w:val="3"/>
        <w:rPr>
          <w:rFonts w:ascii="ralewaymedium" w:eastAsia="Times New Roman" w:hAnsi="ralewaymedium" w:cs="Times New Roman"/>
          <w:color w:val="666666"/>
          <w:sz w:val="27"/>
          <w:szCs w:val="27"/>
        </w:rPr>
      </w:pPr>
      <w:r>
        <w:rPr>
          <w:rFonts w:ascii="ralewayextrabold" w:eastAsia="Times New Roman" w:hAnsi="ralewayextrabold" w:cs="Times New Roman"/>
          <w:color w:val="666666"/>
          <w:sz w:val="27"/>
          <w:szCs w:val="27"/>
          <w:u w:val="single"/>
        </w:rPr>
        <w:t xml:space="preserve">Social Studies </w:t>
      </w:r>
      <w:r w:rsidRPr="00490A6C">
        <w:rPr>
          <w:rFonts w:ascii="ralewayextrabold" w:eastAsia="Times New Roman" w:hAnsi="ralewayextrabold" w:cs="Times New Roman"/>
          <w:color w:val="666666"/>
          <w:sz w:val="27"/>
          <w:szCs w:val="27"/>
          <w:u w:val="single"/>
        </w:rPr>
        <w:t>Scale Scores</w:t>
      </w:r>
    </w:p>
    <w:p w:rsidR="00490A6C" w:rsidRPr="00490A6C" w:rsidRDefault="00490A6C" w:rsidP="00490A6C">
      <w:pPr>
        <w:shd w:val="clear" w:color="auto" w:fill="FFFFFF"/>
        <w:spacing w:after="225" w:line="377" w:lineRule="atLeast"/>
        <w:rPr>
          <w:rFonts w:ascii="ralewaymedium" w:eastAsia="Times New Roman" w:hAnsi="ralewaymedium" w:cs="Times New Roman"/>
          <w:color w:val="666666"/>
          <w:sz w:val="21"/>
          <w:szCs w:val="21"/>
        </w:rPr>
      </w:pPr>
      <w:r w:rsidRPr="00490A6C">
        <w:rPr>
          <w:rFonts w:ascii="ralewaymedium" w:eastAsia="Times New Roman" w:hAnsi="ralewaymedium" w:cs="Times New Roman"/>
          <w:color w:val="666666"/>
          <w:sz w:val="21"/>
          <w:szCs w:val="21"/>
        </w:rPr>
        <w:t>A student’s overall performance level is based on the scale score attained by the student. Scale scores for SCPASS social studies are reported as three-digit numbers. For each grade level, the scale scores range from 300 to 900, and the scale score needed to reach the Met performance level is 600. The scale score needed to reach the Exemplary level varies among grade levels.</w:t>
      </w:r>
    </w:p>
    <w:p w:rsidR="00490A6C" w:rsidRPr="00490A6C" w:rsidRDefault="00490A6C" w:rsidP="00490A6C">
      <w:pPr>
        <w:shd w:val="clear" w:color="auto" w:fill="FFFFFF"/>
        <w:spacing w:after="225" w:line="377" w:lineRule="atLeast"/>
        <w:rPr>
          <w:rFonts w:ascii="ralewaymedium" w:eastAsia="Times New Roman" w:hAnsi="ralewaymedium" w:cs="Times New Roman"/>
          <w:color w:val="666666"/>
          <w:sz w:val="21"/>
          <w:szCs w:val="21"/>
        </w:rPr>
      </w:pPr>
      <w:r w:rsidRPr="00490A6C">
        <w:rPr>
          <w:rFonts w:ascii="ralewaymedium" w:eastAsia="Times New Roman" w:hAnsi="ralewaymedium" w:cs="Times New Roman"/>
          <w:color w:val="666666"/>
          <w:sz w:val="21"/>
          <w:szCs w:val="21"/>
        </w:rPr>
        <w:t>The Education Oversight Committee further divided the Not Met and Exemplary categories, resulting in a total of five performance levels: Not Met 1, Not Met 2, Met, Exemplary 4, and Exemplary 5. The following table displays the scale score ranges that correspond to these five performance levels for grades 4–8 social studies. (These five levels appear on the district data files and student rosters; the three overall levels are used on the Individual Student Reports.)</w:t>
      </w:r>
    </w:p>
    <w:p w:rsidR="00C6111F" w:rsidRDefault="00C6111F" w:rsidP="00EA1CAD">
      <w:pPr>
        <w:rPr>
          <w:rFonts w:ascii="Verdana" w:hAnsi="Verdana" w:cstheme="minorHAnsi"/>
          <w:sz w:val="24"/>
          <w:szCs w:val="24"/>
        </w:rPr>
      </w:pPr>
    </w:p>
    <w:tbl>
      <w:tblPr>
        <w:tblStyle w:val="TableGrid"/>
        <w:tblW w:w="0" w:type="auto"/>
        <w:tblLook w:val="04A0" w:firstRow="1" w:lastRow="0" w:firstColumn="1" w:lastColumn="0" w:noHBand="0" w:noVBand="1"/>
      </w:tblPr>
      <w:tblGrid>
        <w:gridCol w:w="1075"/>
        <w:gridCol w:w="1440"/>
        <w:gridCol w:w="1440"/>
        <w:gridCol w:w="1751"/>
        <w:gridCol w:w="1640"/>
        <w:gridCol w:w="1829"/>
      </w:tblGrid>
      <w:tr w:rsidR="00C6111F" w:rsidRPr="00C6111F" w:rsidTr="00B653E3">
        <w:trPr>
          <w:trHeight w:val="300"/>
        </w:trPr>
        <w:tc>
          <w:tcPr>
            <w:tcW w:w="9175" w:type="dxa"/>
            <w:gridSpan w:val="6"/>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SCPASS Social Studies Scale Score Ranges</w:t>
            </w:r>
          </w:p>
        </w:tc>
      </w:tr>
      <w:tr w:rsidR="00C6111F" w:rsidRPr="00C6111F" w:rsidTr="00B653E3">
        <w:trPr>
          <w:trHeight w:val="300"/>
        </w:trPr>
        <w:tc>
          <w:tcPr>
            <w:tcW w:w="1075" w:type="dxa"/>
            <w:vMerge w:val="restart"/>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Grade</w:t>
            </w:r>
          </w:p>
        </w:tc>
        <w:tc>
          <w:tcPr>
            <w:tcW w:w="2880" w:type="dxa"/>
            <w:gridSpan w:val="2"/>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Not Met</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Met</w:t>
            </w:r>
          </w:p>
        </w:tc>
        <w:tc>
          <w:tcPr>
            <w:tcW w:w="3469" w:type="dxa"/>
            <w:gridSpan w:val="2"/>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Exemplary</w:t>
            </w:r>
          </w:p>
        </w:tc>
      </w:tr>
      <w:tr w:rsidR="00C6111F" w:rsidRPr="00C6111F" w:rsidTr="00B653E3">
        <w:trPr>
          <w:trHeight w:val="900"/>
        </w:trPr>
        <w:tc>
          <w:tcPr>
            <w:tcW w:w="1075" w:type="dxa"/>
            <w:vMerge/>
            <w:hideMark/>
          </w:tcPr>
          <w:p w:rsidR="00C6111F" w:rsidRPr="00C6111F" w:rsidRDefault="00C6111F">
            <w:pPr>
              <w:rPr>
                <w:rFonts w:ascii="Verdana" w:hAnsi="Verdana" w:cstheme="minorHAnsi"/>
                <w:b/>
                <w:bCs/>
                <w:sz w:val="24"/>
                <w:szCs w:val="24"/>
              </w:rPr>
            </w:pP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Not Met 1</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Not Met 2</w:t>
            </w:r>
          </w:p>
        </w:tc>
        <w:tc>
          <w:tcPr>
            <w:tcW w:w="1751" w:type="dxa"/>
            <w:hideMark/>
          </w:tcPr>
          <w:p w:rsidR="00C6111F" w:rsidRPr="00C6111F" w:rsidRDefault="00C6111F" w:rsidP="00C6111F">
            <w:pPr>
              <w:jc w:val="center"/>
              <w:rPr>
                <w:rFonts w:ascii="Verdana" w:hAnsi="Verdana" w:cstheme="minorHAnsi"/>
                <w:b/>
                <w:bCs/>
                <w:sz w:val="24"/>
                <w:szCs w:val="24"/>
              </w:rPr>
            </w:pP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Exemplary 4</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Exemplary 5</w:t>
            </w:r>
          </w:p>
        </w:tc>
      </w:tr>
      <w:tr w:rsidR="00C6111F" w:rsidRPr="00C6111F" w:rsidTr="00B653E3">
        <w:trPr>
          <w:trHeight w:val="600"/>
        </w:trPr>
        <w:tc>
          <w:tcPr>
            <w:tcW w:w="1075" w:type="dxa"/>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4</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300–589</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590–599</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600–667</w:t>
            </w: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668–692</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693–900</w:t>
            </w:r>
          </w:p>
        </w:tc>
      </w:tr>
      <w:tr w:rsidR="00C6111F" w:rsidRPr="00C6111F" w:rsidTr="00B653E3">
        <w:trPr>
          <w:trHeight w:val="600"/>
        </w:trPr>
        <w:tc>
          <w:tcPr>
            <w:tcW w:w="1075" w:type="dxa"/>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5</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300–569</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570–599</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600–657</w:t>
            </w: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658–671</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672–900</w:t>
            </w:r>
          </w:p>
        </w:tc>
      </w:tr>
      <w:tr w:rsidR="00C6111F" w:rsidRPr="00C6111F" w:rsidTr="00B653E3">
        <w:trPr>
          <w:trHeight w:val="600"/>
        </w:trPr>
        <w:tc>
          <w:tcPr>
            <w:tcW w:w="1075" w:type="dxa"/>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6</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300–584</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585–599</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600–670</w:t>
            </w: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671–687</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688–900</w:t>
            </w:r>
          </w:p>
        </w:tc>
      </w:tr>
      <w:tr w:rsidR="00C6111F" w:rsidRPr="00C6111F" w:rsidTr="00B653E3">
        <w:trPr>
          <w:trHeight w:val="600"/>
        </w:trPr>
        <w:tc>
          <w:tcPr>
            <w:tcW w:w="1075" w:type="dxa"/>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7</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300–561</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562–599</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600–645</w:t>
            </w: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646–662</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663–900</w:t>
            </w:r>
          </w:p>
        </w:tc>
      </w:tr>
      <w:tr w:rsidR="00C6111F" w:rsidRPr="00C6111F" w:rsidTr="00B653E3">
        <w:trPr>
          <w:trHeight w:val="600"/>
        </w:trPr>
        <w:tc>
          <w:tcPr>
            <w:tcW w:w="1075" w:type="dxa"/>
            <w:hideMark/>
          </w:tcPr>
          <w:p w:rsidR="00C6111F" w:rsidRPr="00C6111F" w:rsidRDefault="00C6111F" w:rsidP="00C6111F">
            <w:pPr>
              <w:rPr>
                <w:rFonts w:ascii="Verdana" w:hAnsi="Verdana" w:cstheme="minorHAnsi"/>
                <w:b/>
                <w:bCs/>
                <w:sz w:val="24"/>
                <w:szCs w:val="24"/>
              </w:rPr>
            </w:pPr>
            <w:r w:rsidRPr="00C6111F">
              <w:rPr>
                <w:rFonts w:ascii="Verdana" w:hAnsi="Verdana" w:cstheme="minorHAnsi"/>
                <w:b/>
                <w:bCs/>
                <w:sz w:val="24"/>
                <w:szCs w:val="24"/>
              </w:rPr>
              <w:t>8</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300–570</w:t>
            </w:r>
          </w:p>
        </w:tc>
        <w:tc>
          <w:tcPr>
            <w:tcW w:w="14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571–599</w:t>
            </w:r>
          </w:p>
        </w:tc>
        <w:tc>
          <w:tcPr>
            <w:tcW w:w="1751"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600–655</w:t>
            </w:r>
          </w:p>
        </w:tc>
        <w:tc>
          <w:tcPr>
            <w:tcW w:w="1640"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656–674</w:t>
            </w:r>
          </w:p>
        </w:tc>
        <w:tc>
          <w:tcPr>
            <w:tcW w:w="1829" w:type="dxa"/>
            <w:hideMark/>
          </w:tcPr>
          <w:p w:rsidR="00C6111F" w:rsidRPr="00C6111F" w:rsidRDefault="00C6111F" w:rsidP="00C6111F">
            <w:pPr>
              <w:jc w:val="center"/>
              <w:rPr>
                <w:rFonts w:ascii="Verdana" w:hAnsi="Verdana" w:cstheme="minorHAnsi"/>
                <w:b/>
                <w:bCs/>
                <w:sz w:val="24"/>
                <w:szCs w:val="24"/>
              </w:rPr>
            </w:pPr>
            <w:r w:rsidRPr="00C6111F">
              <w:rPr>
                <w:rFonts w:ascii="Verdana" w:hAnsi="Verdana" w:cstheme="minorHAnsi"/>
                <w:b/>
                <w:bCs/>
                <w:sz w:val="24"/>
                <w:szCs w:val="24"/>
              </w:rPr>
              <w:t>675–900</w:t>
            </w:r>
          </w:p>
        </w:tc>
      </w:tr>
    </w:tbl>
    <w:p w:rsidR="00C6111F" w:rsidRDefault="00C6111F" w:rsidP="00EA1CAD">
      <w:pPr>
        <w:rPr>
          <w:rFonts w:ascii="Verdana" w:hAnsi="Verdana" w:cstheme="minorHAnsi"/>
          <w:sz w:val="24"/>
          <w:szCs w:val="24"/>
        </w:rPr>
      </w:pPr>
    </w:p>
    <w:sectPr w:rsidR="00C6111F" w:rsidSect="005C4F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ralewayextrabold">
    <w:altName w:val="Times New Roman"/>
    <w:panose1 w:val="00000000000000000000"/>
    <w:charset w:val="00"/>
    <w:family w:val="roman"/>
    <w:notTrueType/>
    <w:pitch w:val="default"/>
  </w:font>
  <w:font w:name="ralewaymed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1403"/>
    <w:multiLevelType w:val="hybridMultilevel"/>
    <w:tmpl w:val="D144C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FE680B"/>
    <w:multiLevelType w:val="hybridMultilevel"/>
    <w:tmpl w:val="3A1E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9A"/>
    <w:rsid w:val="00000254"/>
    <w:rsid w:val="000A7947"/>
    <w:rsid w:val="000B2BDA"/>
    <w:rsid w:val="00490A6C"/>
    <w:rsid w:val="005C4F81"/>
    <w:rsid w:val="008059AB"/>
    <w:rsid w:val="0084089A"/>
    <w:rsid w:val="00855FB3"/>
    <w:rsid w:val="009B1AE1"/>
    <w:rsid w:val="00B653E3"/>
    <w:rsid w:val="00B9091B"/>
    <w:rsid w:val="00BD1645"/>
    <w:rsid w:val="00C6111F"/>
    <w:rsid w:val="00D94269"/>
    <w:rsid w:val="00E631AC"/>
    <w:rsid w:val="00EA1CAD"/>
    <w:rsid w:val="00EE5742"/>
    <w:rsid w:val="00EE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13A1-617C-4F33-8F14-6F42C30B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90A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9A"/>
    <w:pPr>
      <w:ind w:left="720"/>
      <w:contextualSpacing/>
    </w:pPr>
  </w:style>
  <w:style w:type="paragraph" w:styleId="BalloonText">
    <w:name w:val="Balloon Text"/>
    <w:basedOn w:val="Normal"/>
    <w:link w:val="BalloonTextChar"/>
    <w:uiPriority w:val="99"/>
    <w:semiHidden/>
    <w:unhideWhenUsed/>
    <w:rsid w:val="00D94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269"/>
    <w:rPr>
      <w:rFonts w:ascii="Segoe UI" w:hAnsi="Segoe UI" w:cs="Segoe UI"/>
      <w:sz w:val="18"/>
      <w:szCs w:val="18"/>
    </w:rPr>
  </w:style>
  <w:style w:type="paragraph" w:styleId="NormalWeb">
    <w:name w:val="Normal (Web)"/>
    <w:basedOn w:val="Normal"/>
    <w:uiPriority w:val="99"/>
    <w:semiHidden/>
    <w:unhideWhenUsed/>
    <w:rsid w:val="00C611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11F"/>
    <w:rPr>
      <w:b/>
      <w:bCs/>
    </w:rPr>
  </w:style>
  <w:style w:type="table" w:styleId="TableGrid">
    <w:name w:val="Table Grid"/>
    <w:basedOn w:val="TableNormal"/>
    <w:uiPriority w:val="39"/>
    <w:rsid w:val="00C61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90A6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3841">
      <w:bodyDiv w:val="1"/>
      <w:marLeft w:val="0"/>
      <w:marRight w:val="0"/>
      <w:marTop w:val="0"/>
      <w:marBottom w:val="0"/>
      <w:divBdr>
        <w:top w:val="none" w:sz="0" w:space="0" w:color="auto"/>
        <w:left w:val="none" w:sz="0" w:space="0" w:color="auto"/>
        <w:bottom w:val="none" w:sz="0" w:space="0" w:color="auto"/>
        <w:right w:val="none" w:sz="0" w:space="0" w:color="auto"/>
      </w:divBdr>
    </w:div>
    <w:div w:id="386954264">
      <w:bodyDiv w:val="1"/>
      <w:marLeft w:val="0"/>
      <w:marRight w:val="0"/>
      <w:marTop w:val="0"/>
      <w:marBottom w:val="0"/>
      <w:divBdr>
        <w:top w:val="none" w:sz="0" w:space="0" w:color="auto"/>
        <w:left w:val="none" w:sz="0" w:space="0" w:color="auto"/>
        <w:bottom w:val="none" w:sz="0" w:space="0" w:color="auto"/>
        <w:right w:val="none" w:sz="0" w:space="0" w:color="auto"/>
      </w:divBdr>
    </w:div>
    <w:div w:id="560333310">
      <w:bodyDiv w:val="1"/>
      <w:marLeft w:val="0"/>
      <w:marRight w:val="0"/>
      <w:marTop w:val="0"/>
      <w:marBottom w:val="0"/>
      <w:divBdr>
        <w:top w:val="none" w:sz="0" w:space="0" w:color="auto"/>
        <w:left w:val="none" w:sz="0" w:space="0" w:color="auto"/>
        <w:bottom w:val="none" w:sz="0" w:space="0" w:color="auto"/>
        <w:right w:val="none" w:sz="0" w:space="0" w:color="auto"/>
      </w:divBdr>
    </w:div>
    <w:div w:id="606931895">
      <w:bodyDiv w:val="1"/>
      <w:marLeft w:val="0"/>
      <w:marRight w:val="0"/>
      <w:marTop w:val="0"/>
      <w:marBottom w:val="0"/>
      <w:divBdr>
        <w:top w:val="none" w:sz="0" w:space="0" w:color="auto"/>
        <w:left w:val="none" w:sz="0" w:space="0" w:color="auto"/>
        <w:bottom w:val="none" w:sz="0" w:space="0" w:color="auto"/>
        <w:right w:val="none" w:sz="0" w:space="0" w:color="auto"/>
      </w:divBdr>
    </w:div>
    <w:div w:id="633021649">
      <w:bodyDiv w:val="1"/>
      <w:marLeft w:val="0"/>
      <w:marRight w:val="0"/>
      <w:marTop w:val="0"/>
      <w:marBottom w:val="0"/>
      <w:divBdr>
        <w:top w:val="none" w:sz="0" w:space="0" w:color="auto"/>
        <w:left w:val="none" w:sz="0" w:space="0" w:color="auto"/>
        <w:bottom w:val="none" w:sz="0" w:space="0" w:color="auto"/>
        <w:right w:val="none" w:sz="0" w:space="0" w:color="auto"/>
      </w:divBdr>
    </w:div>
    <w:div w:id="1087070020">
      <w:bodyDiv w:val="1"/>
      <w:marLeft w:val="0"/>
      <w:marRight w:val="0"/>
      <w:marTop w:val="0"/>
      <w:marBottom w:val="0"/>
      <w:divBdr>
        <w:top w:val="none" w:sz="0" w:space="0" w:color="auto"/>
        <w:left w:val="none" w:sz="0" w:space="0" w:color="auto"/>
        <w:bottom w:val="none" w:sz="0" w:space="0" w:color="auto"/>
        <w:right w:val="none" w:sz="0" w:space="0" w:color="auto"/>
      </w:divBdr>
      <w:divsChild>
        <w:div w:id="2001108088">
          <w:marLeft w:val="0"/>
          <w:marRight w:val="0"/>
          <w:marTop w:val="0"/>
          <w:marBottom w:val="0"/>
          <w:divBdr>
            <w:top w:val="none" w:sz="0" w:space="0" w:color="auto"/>
            <w:left w:val="none" w:sz="0" w:space="0" w:color="auto"/>
            <w:bottom w:val="none" w:sz="0" w:space="0" w:color="auto"/>
            <w:right w:val="none" w:sz="0" w:space="0" w:color="auto"/>
          </w:divBdr>
          <w:divsChild>
            <w:div w:id="17040955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33327624">
      <w:bodyDiv w:val="1"/>
      <w:marLeft w:val="0"/>
      <w:marRight w:val="0"/>
      <w:marTop w:val="0"/>
      <w:marBottom w:val="0"/>
      <w:divBdr>
        <w:top w:val="none" w:sz="0" w:space="0" w:color="auto"/>
        <w:left w:val="none" w:sz="0" w:space="0" w:color="auto"/>
        <w:bottom w:val="none" w:sz="0" w:space="0" w:color="auto"/>
        <w:right w:val="none" w:sz="0" w:space="0" w:color="auto"/>
      </w:divBdr>
    </w:div>
    <w:div w:id="1435325801">
      <w:bodyDiv w:val="1"/>
      <w:marLeft w:val="0"/>
      <w:marRight w:val="0"/>
      <w:marTop w:val="0"/>
      <w:marBottom w:val="0"/>
      <w:divBdr>
        <w:top w:val="none" w:sz="0" w:space="0" w:color="auto"/>
        <w:left w:val="none" w:sz="0" w:space="0" w:color="auto"/>
        <w:bottom w:val="none" w:sz="0" w:space="0" w:color="auto"/>
        <w:right w:val="none" w:sz="0" w:space="0" w:color="auto"/>
      </w:divBdr>
      <w:divsChild>
        <w:div w:id="652565105">
          <w:marLeft w:val="0"/>
          <w:marRight w:val="0"/>
          <w:marTop w:val="0"/>
          <w:marBottom w:val="0"/>
          <w:divBdr>
            <w:top w:val="none" w:sz="0" w:space="0" w:color="auto"/>
            <w:left w:val="none" w:sz="0" w:space="0" w:color="auto"/>
            <w:bottom w:val="none" w:sz="0" w:space="0" w:color="auto"/>
            <w:right w:val="none" w:sz="0" w:space="0" w:color="auto"/>
          </w:divBdr>
          <w:divsChild>
            <w:div w:id="20501816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76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West</dc:creator>
  <cp:keywords/>
  <dc:description/>
  <cp:lastModifiedBy>Jennifer Leanne Olinger</cp:lastModifiedBy>
  <cp:revision>2</cp:revision>
  <cp:lastPrinted>2021-05-12T17:34:00Z</cp:lastPrinted>
  <dcterms:created xsi:type="dcterms:W3CDTF">2021-05-12T19:46:00Z</dcterms:created>
  <dcterms:modified xsi:type="dcterms:W3CDTF">2021-05-12T19:46:00Z</dcterms:modified>
</cp:coreProperties>
</file>