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76" w:rsidRDefault="007A58D8">
      <w:r>
        <w:rPr>
          <w:noProof/>
          <w:lang w:eastAsia="zh-CN"/>
        </w:rPr>
        <w:drawing>
          <wp:inline distT="0" distB="0" distL="0" distR="0" wp14:anchorId="5578018F" wp14:editId="34FF8143">
            <wp:extent cx="5676900" cy="3061970"/>
            <wp:effectExtent l="0" t="0" r="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9682D" w:rsidRDefault="0059682D">
      <w:r>
        <w:t xml:space="preserve">There was a particular focus </w:t>
      </w:r>
      <w:r w:rsidR="00FF4EF2">
        <w:t xml:space="preserve">in the middle of 2013 to engage teachers in </w:t>
      </w:r>
      <w:r w:rsidR="0028161C">
        <w:t>the PLC process to impro</w:t>
      </w:r>
      <w:r w:rsidR="0061238E">
        <w:t>ve results in the key areas of E</w:t>
      </w:r>
      <w:r w:rsidR="0028161C">
        <w:t xml:space="preserve">nglish, maths and science.  Teachers </w:t>
      </w:r>
      <w:r w:rsidR="0061238E">
        <w:t>were encouraged to work collaboratively</w:t>
      </w:r>
      <w:r w:rsidR="0028161C">
        <w:t xml:space="preserve"> within </w:t>
      </w:r>
      <w:r w:rsidR="0061238E">
        <w:t xml:space="preserve">teacher teams </w:t>
      </w:r>
      <w:r w:rsidR="0028161C">
        <w:t xml:space="preserve">and across faculties to discuss individual student data </w:t>
      </w:r>
      <w:r w:rsidR="0061238E">
        <w:t>and to share resources and strategies</w:t>
      </w:r>
      <w:r w:rsidR="0028161C">
        <w:t xml:space="preserve">.  They were encouraged to be innovative with their planning </w:t>
      </w:r>
      <w:r w:rsidR="0061238E">
        <w:t xml:space="preserve">in alignment to the guaranteed, viable curriculum </w:t>
      </w:r>
      <w:r w:rsidR="0028161C">
        <w:t>and cont</w:t>
      </w:r>
      <w:r w:rsidR="00EC2C5A">
        <w:t xml:space="preserve">inually review and refine their </w:t>
      </w:r>
      <w:r w:rsidR="00D24BE9">
        <w:t>lessons based on formative data</w:t>
      </w:r>
      <w:r w:rsidR="0028161C">
        <w:t xml:space="preserve">.  While the maths department showed significant improvement in 2014 the data shows that all areas have been on a continuous improvement trajectory from 2013 to 2016.    </w:t>
      </w:r>
    </w:p>
    <w:p w:rsidR="002965C7" w:rsidRDefault="002965C7">
      <w:r>
        <w:rPr>
          <w:noProof/>
          <w:lang w:eastAsia="zh-CN"/>
        </w:rPr>
        <w:drawing>
          <wp:inline distT="0" distB="0" distL="0" distR="0" wp14:anchorId="4E409242" wp14:editId="5DBFC5AC">
            <wp:extent cx="5610225" cy="300037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965C7" w:rsidRPr="00EC2C5A" w:rsidRDefault="00D24BE9">
      <w:pPr>
        <w:rPr>
          <w:rFonts w:ascii="Calibri" w:hAnsi="Calibri"/>
        </w:rPr>
      </w:pPr>
      <w:r>
        <w:rPr>
          <w:rFonts w:ascii="Calibri" w:eastAsia="Times New Roman" w:hAnsi="Calibri" w:cs="Arial"/>
          <w:color w:val="000000"/>
        </w:rPr>
        <w:t>Incorporated in a</w:t>
      </w:r>
      <w:r w:rsidR="00E051F7">
        <w:rPr>
          <w:rFonts w:ascii="Calibri" w:eastAsia="Times New Roman" w:hAnsi="Calibri" w:cs="Arial"/>
          <w:color w:val="000000"/>
        </w:rPr>
        <w:t xml:space="preserve"> focus to improve results in </w:t>
      </w:r>
      <w:r w:rsidR="0061238E">
        <w:rPr>
          <w:rFonts w:ascii="Calibri" w:eastAsia="Times New Roman" w:hAnsi="Calibri" w:cs="Arial"/>
          <w:color w:val="000000"/>
        </w:rPr>
        <w:t>English</w:t>
      </w:r>
      <w:r w:rsidR="00E051F7">
        <w:rPr>
          <w:rFonts w:ascii="Calibri" w:eastAsia="Times New Roman" w:hAnsi="Calibri" w:cs="Arial"/>
          <w:color w:val="000000"/>
        </w:rPr>
        <w:t>, maths and science was an i</w:t>
      </w:r>
      <w:r w:rsidR="002965C7" w:rsidRPr="00EC2C5A">
        <w:rPr>
          <w:rFonts w:ascii="Calibri" w:eastAsia="Times New Roman" w:hAnsi="Calibri" w:cs="Arial"/>
          <w:color w:val="000000"/>
        </w:rPr>
        <w:t>ntervention</w:t>
      </w:r>
      <w:r w:rsidR="00E051F7">
        <w:rPr>
          <w:rFonts w:ascii="Calibri" w:eastAsia="Times New Roman" w:hAnsi="Calibri" w:cs="Arial"/>
          <w:color w:val="000000"/>
        </w:rPr>
        <w:t xml:space="preserve"> strategy to ensure </w:t>
      </w:r>
      <w:r w:rsidR="00CA238B">
        <w:rPr>
          <w:rFonts w:ascii="Calibri" w:eastAsia="Times New Roman" w:hAnsi="Calibri" w:cs="Arial"/>
          <w:color w:val="000000"/>
        </w:rPr>
        <w:t>all students achie</w:t>
      </w:r>
      <w:r w:rsidR="00590D97">
        <w:rPr>
          <w:rFonts w:ascii="Calibri" w:eastAsia="Times New Roman" w:hAnsi="Calibri" w:cs="Arial"/>
          <w:color w:val="000000"/>
        </w:rPr>
        <w:t>ved above NMS</w:t>
      </w:r>
      <w:r w:rsidR="00D240E6">
        <w:rPr>
          <w:rFonts w:ascii="Calibri" w:eastAsia="Times New Roman" w:hAnsi="Calibri" w:cs="Arial"/>
          <w:color w:val="000000"/>
        </w:rPr>
        <w:t xml:space="preserve"> (national minimum standard) </w:t>
      </w:r>
      <w:bookmarkStart w:id="0" w:name="_GoBack"/>
      <w:bookmarkEnd w:id="0"/>
      <w:r w:rsidR="00590D97">
        <w:rPr>
          <w:rFonts w:ascii="Calibri" w:eastAsia="Times New Roman" w:hAnsi="Calibri" w:cs="Arial"/>
          <w:color w:val="000000"/>
        </w:rPr>
        <w:t xml:space="preserve">in NAPLAN </w:t>
      </w:r>
      <w:r w:rsidR="00D240E6">
        <w:rPr>
          <w:rFonts w:ascii="Calibri" w:eastAsia="Times New Roman" w:hAnsi="Calibri" w:cs="Arial"/>
          <w:color w:val="000000"/>
        </w:rPr>
        <w:t xml:space="preserve">(National Assessment Program Literacy Numeracy) </w:t>
      </w:r>
      <w:r w:rsidR="00590D97">
        <w:rPr>
          <w:rFonts w:ascii="Calibri" w:eastAsia="Times New Roman" w:hAnsi="Calibri" w:cs="Arial"/>
          <w:color w:val="000000"/>
        </w:rPr>
        <w:t>results</w:t>
      </w:r>
      <w:r w:rsidR="00CA238B">
        <w:rPr>
          <w:rFonts w:ascii="Calibri" w:eastAsia="Times New Roman" w:hAnsi="Calibri" w:cs="Arial"/>
          <w:color w:val="000000"/>
        </w:rPr>
        <w:t>.</w:t>
      </w:r>
      <w:r w:rsidR="00590D97">
        <w:rPr>
          <w:rFonts w:ascii="Calibri" w:eastAsia="Times New Roman" w:hAnsi="Calibri" w:cs="Arial"/>
          <w:color w:val="000000"/>
        </w:rPr>
        <w:t xml:space="preserve">  </w:t>
      </w:r>
      <w:r w:rsidR="00D240E6">
        <w:rPr>
          <w:rFonts w:ascii="Calibri" w:eastAsia="Times New Roman" w:hAnsi="Calibri" w:cs="Arial"/>
          <w:color w:val="000000"/>
        </w:rPr>
        <w:t xml:space="preserve">The graph represents the percentage difference between the national NMS percentage and the Helensvale SHS NMS percentage. </w:t>
      </w:r>
      <w:r w:rsidR="00590D97">
        <w:rPr>
          <w:rFonts w:ascii="Calibri" w:eastAsia="Times New Roman" w:hAnsi="Calibri" w:cs="Arial"/>
          <w:color w:val="000000"/>
        </w:rPr>
        <w:t xml:space="preserve">Particular attention was given to reading and numeracy to align with the </w:t>
      </w:r>
      <w:r w:rsidR="0061238E">
        <w:rPr>
          <w:rFonts w:ascii="Calibri" w:eastAsia="Times New Roman" w:hAnsi="Calibri" w:cs="Arial"/>
          <w:color w:val="000000"/>
        </w:rPr>
        <w:t xml:space="preserve">school improvement plan and the department </w:t>
      </w:r>
      <w:r w:rsidR="0061238E">
        <w:rPr>
          <w:rFonts w:ascii="Calibri" w:eastAsia="Times New Roman" w:hAnsi="Calibri" w:cs="Arial"/>
          <w:color w:val="000000"/>
        </w:rPr>
        <w:lastRenderedPageBreak/>
        <w:t>focus.</w:t>
      </w:r>
      <w:r w:rsidR="00590D97">
        <w:rPr>
          <w:rFonts w:ascii="Calibri" w:eastAsia="Times New Roman" w:hAnsi="Calibri" w:cs="Arial"/>
          <w:color w:val="000000"/>
        </w:rPr>
        <w:t xml:space="preserve"> </w:t>
      </w:r>
      <w:r w:rsidR="0061238E">
        <w:rPr>
          <w:rFonts w:ascii="Calibri" w:eastAsia="Times New Roman" w:hAnsi="Calibri" w:cs="Arial"/>
          <w:color w:val="000000"/>
        </w:rPr>
        <w:t xml:space="preserve"> </w:t>
      </w:r>
      <w:r w:rsidR="00D240E6">
        <w:rPr>
          <w:rFonts w:ascii="Calibri" w:eastAsia="Times New Roman" w:hAnsi="Calibri" w:cs="Arial"/>
          <w:color w:val="000000"/>
        </w:rPr>
        <w:t>It is evident from the graph that this strategy was successful as we have exceeded the national minimum standard percentage and show continuous growth.</w:t>
      </w:r>
    </w:p>
    <w:p w:rsidR="002965C7" w:rsidRDefault="002965C7"/>
    <w:p w:rsidR="002965C7" w:rsidRDefault="002965C7"/>
    <w:p w:rsidR="002965C7" w:rsidRDefault="002965C7"/>
    <w:p w:rsidR="000E2452" w:rsidRDefault="00B954A2">
      <w:r w:rsidRPr="00B954A2">
        <w:rPr>
          <w:noProof/>
          <w:lang w:eastAsia="zh-CN"/>
        </w:rPr>
        <w:drawing>
          <wp:inline distT="0" distB="0" distL="0" distR="0" wp14:anchorId="2EFB525F" wp14:editId="257F624D">
            <wp:extent cx="5731510" cy="2714625"/>
            <wp:effectExtent l="0" t="0" r="254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3F29" w:rsidRDefault="00243F29">
      <w:r>
        <w:rPr>
          <w:noProof/>
          <w:lang w:eastAsia="zh-CN"/>
        </w:rPr>
        <w:drawing>
          <wp:inline distT="0" distB="0" distL="0" distR="0" wp14:anchorId="7CCDE02E" wp14:editId="00CAFC3F">
            <wp:extent cx="5715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1707E" w:rsidRDefault="00D1707E">
      <w:r w:rsidRPr="00D1707E">
        <w:rPr>
          <w:noProof/>
          <w:lang w:eastAsia="zh-CN"/>
        </w:rPr>
        <w:lastRenderedPageBreak/>
        <w:drawing>
          <wp:inline distT="0" distB="0" distL="0" distR="0" wp14:anchorId="18D76B3F" wp14:editId="1B3A0A69">
            <wp:extent cx="5667375" cy="25336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707E" w:rsidRDefault="00D1707E">
      <w:r w:rsidRPr="00D1707E">
        <w:rPr>
          <w:noProof/>
          <w:lang w:eastAsia="zh-CN"/>
        </w:rPr>
        <w:drawing>
          <wp:inline distT="0" distB="0" distL="0" distR="0" wp14:anchorId="385821A9" wp14:editId="281020B8">
            <wp:extent cx="5648325" cy="28670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9026" w:type="dxa"/>
        <w:tblLook w:val="04A0" w:firstRow="1" w:lastRow="0" w:firstColumn="1" w:lastColumn="0" w:noHBand="0" w:noVBand="1"/>
      </w:tblPr>
      <w:tblGrid>
        <w:gridCol w:w="9026"/>
      </w:tblGrid>
      <w:tr w:rsidR="00C33611" w:rsidRPr="00C33611" w:rsidTr="00E10A6B">
        <w:trPr>
          <w:trHeight w:val="287"/>
        </w:trPr>
        <w:tc>
          <w:tcPr>
            <w:tcW w:w="9026" w:type="dxa"/>
            <w:tcBorders>
              <w:top w:val="nil"/>
              <w:left w:val="nil"/>
              <w:bottom w:val="nil"/>
              <w:right w:val="nil"/>
            </w:tcBorders>
            <w:shd w:val="clear" w:color="auto" w:fill="auto"/>
            <w:hideMark/>
          </w:tcPr>
          <w:p w:rsidR="00FF4EF2" w:rsidRDefault="00FF4EF2" w:rsidP="00FF4EF2">
            <w:r>
              <w:t xml:space="preserve">In 2011 a concerted effort was made to focus on each individual student in the senior school in line with our mission of “One student, One community, </w:t>
            </w:r>
            <w:proofErr w:type="gramStart"/>
            <w:r>
              <w:t>Many</w:t>
            </w:r>
            <w:proofErr w:type="gramEnd"/>
            <w:r>
              <w:t xml:space="preserve"> futures”</w:t>
            </w:r>
            <w:r w:rsidR="004A21E1">
              <w:t>.  This als</w:t>
            </w:r>
            <w:r w:rsidR="0061238E">
              <w:t>o aligned with the Queensland Education</w:t>
            </w:r>
            <w:r w:rsidR="00590D97">
              <w:t xml:space="preserve"> </w:t>
            </w:r>
            <w:r w:rsidR="004A21E1">
              <w:t>Headline Indicators relating to OP</w:t>
            </w:r>
            <w:r w:rsidR="00D240E6">
              <w:t xml:space="preserve"> (Overall Position- university entrance score, 1 being the highest score and 25 being the lowest</w:t>
            </w:r>
            <w:proofErr w:type="gramStart"/>
            <w:r w:rsidR="00D240E6">
              <w:t xml:space="preserve">) </w:t>
            </w:r>
            <w:r w:rsidR="004A21E1">
              <w:t>,</w:t>
            </w:r>
            <w:proofErr w:type="gramEnd"/>
            <w:r w:rsidR="004A21E1">
              <w:t xml:space="preserve"> QCE</w:t>
            </w:r>
            <w:r w:rsidR="00D240E6">
              <w:t xml:space="preserve"> (Queensland Certificate of Education)</w:t>
            </w:r>
            <w:r w:rsidR="004A21E1">
              <w:t>, V</w:t>
            </w:r>
            <w:r w:rsidR="00D240E6">
              <w:t xml:space="preserve">ET (Vocational Education and Training) and school based apprenticeships and traineeships </w:t>
            </w:r>
            <w:r w:rsidR="004A21E1">
              <w:t xml:space="preserve">data.  </w:t>
            </w:r>
            <w:r w:rsidR="00410C21">
              <w:t xml:space="preserve">An important part of this process was for all senior school teachers and the senior school </w:t>
            </w:r>
            <w:r w:rsidR="00D24BE9">
              <w:t>leadership team to collaborate in developing</w:t>
            </w:r>
            <w:r w:rsidR="00410C21">
              <w:t xml:space="preserve"> a</w:t>
            </w:r>
            <w:r w:rsidR="00700905">
              <w:t xml:space="preserve"> comprehensive </w:t>
            </w:r>
            <w:r w:rsidR="00410C21">
              <w:t xml:space="preserve">picture of each senior school student.  Regular meetings were held with each student to discuss their data and wellbeing and to refine </w:t>
            </w:r>
            <w:proofErr w:type="gramStart"/>
            <w:r w:rsidR="00410C21">
              <w:t xml:space="preserve">their </w:t>
            </w:r>
            <w:r w:rsidR="0061238E">
              <w:t xml:space="preserve"> personal</w:t>
            </w:r>
            <w:proofErr w:type="gramEnd"/>
            <w:r w:rsidR="0061238E">
              <w:t xml:space="preserve"> achievement goals and </w:t>
            </w:r>
            <w:r w:rsidR="00410C21">
              <w:t>plans.</w:t>
            </w:r>
            <w:r w:rsidR="00D240E6">
              <w:t xml:space="preserve"> The graphs indicate a consistent trajectory of improvement across all measures.</w:t>
            </w:r>
          </w:p>
          <w:p w:rsidR="00CB4222" w:rsidRDefault="00CB4222" w:rsidP="00C33611">
            <w:pPr>
              <w:spacing w:after="0" w:line="240" w:lineRule="auto"/>
              <w:rPr>
                <w:rFonts w:ascii="Arial" w:eastAsia="Times New Roman" w:hAnsi="Arial" w:cs="Arial"/>
                <w:color w:val="000000"/>
                <w:sz w:val="16"/>
                <w:szCs w:val="16"/>
              </w:rPr>
            </w:pPr>
          </w:p>
          <w:p w:rsidR="00D001E3" w:rsidRPr="0046293C" w:rsidRDefault="00D001E3" w:rsidP="00C33611">
            <w:pPr>
              <w:spacing w:after="0" w:line="240" w:lineRule="auto"/>
              <w:rPr>
                <w:rFonts w:ascii="Arial" w:eastAsia="Times New Roman" w:hAnsi="Arial" w:cs="Arial"/>
                <w:color w:val="000000"/>
                <w:sz w:val="16"/>
                <w:szCs w:val="16"/>
              </w:rPr>
            </w:pPr>
          </w:p>
          <w:p w:rsidR="00FF4EF2" w:rsidRPr="007B0835" w:rsidRDefault="00FF4EF2" w:rsidP="00C33611">
            <w:pPr>
              <w:spacing w:after="0" w:line="240" w:lineRule="auto"/>
              <w:rPr>
                <w:rFonts w:ascii="Arial" w:eastAsia="Times New Roman" w:hAnsi="Arial" w:cs="Arial"/>
                <w:color w:val="000000"/>
              </w:rPr>
            </w:pPr>
          </w:p>
        </w:tc>
      </w:tr>
      <w:tr w:rsidR="00E10A6B" w:rsidRPr="00C33611" w:rsidTr="00E10A6B">
        <w:trPr>
          <w:trHeight w:val="287"/>
        </w:trPr>
        <w:tc>
          <w:tcPr>
            <w:tcW w:w="9026" w:type="dxa"/>
            <w:tcBorders>
              <w:top w:val="nil"/>
              <w:left w:val="nil"/>
              <w:bottom w:val="nil"/>
              <w:right w:val="nil"/>
            </w:tcBorders>
            <w:shd w:val="clear" w:color="auto" w:fill="auto"/>
          </w:tcPr>
          <w:p w:rsidR="00E10A6B" w:rsidRDefault="00E10A6B" w:rsidP="00C33611">
            <w:pPr>
              <w:spacing w:after="0" w:line="240" w:lineRule="auto"/>
              <w:rPr>
                <w:rFonts w:ascii="Arial" w:eastAsia="Times New Roman" w:hAnsi="Arial" w:cs="Arial"/>
                <w:color w:val="000000"/>
                <w:sz w:val="16"/>
                <w:szCs w:val="16"/>
              </w:rPr>
            </w:pPr>
          </w:p>
          <w:p w:rsidR="00E10A6B" w:rsidRDefault="00E10A6B" w:rsidP="00C33611">
            <w:pPr>
              <w:spacing w:after="0" w:line="240" w:lineRule="auto"/>
              <w:rPr>
                <w:rFonts w:ascii="Arial" w:eastAsia="Times New Roman" w:hAnsi="Arial" w:cs="Arial"/>
                <w:color w:val="000000"/>
                <w:sz w:val="16"/>
                <w:szCs w:val="16"/>
              </w:rPr>
            </w:pPr>
            <w:r>
              <w:rPr>
                <w:noProof/>
                <w:lang w:eastAsia="zh-CN"/>
              </w:rPr>
              <w:lastRenderedPageBreak/>
              <w:drawing>
                <wp:inline distT="0" distB="0" distL="0" distR="0" wp14:anchorId="1AECE76E" wp14:editId="0D771951">
                  <wp:extent cx="5543550" cy="275272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2A07E8" w:rsidRDefault="002A07E8" w:rsidP="00CB4222">
      <w:pPr>
        <w:rPr>
          <w:b/>
          <w:sz w:val="28"/>
          <w:szCs w:val="28"/>
        </w:rPr>
      </w:pPr>
    </w:p>
    <w:p w:rsidR="002A07E8" w:rsidRPr="002A07E8" w:rsidRDefault="002A07E8" w:rsidP="00CB4222">
      <w:r w:rsidRPr="002A07E8">
        <w:t xml:space="preserve">Helensvale High </w:t>
      </w:r>
      <w:r w:rsidR="0061238E" w:rsidRPr="002A07E8">
        <w:t>Schoo</w:t>
      </w:r>
      <w:r w:rsidR="0061238E">
        <w:t xml:space="preserve">l </w:t>
      </w:r>
      <w:r w:rsidR="0061238E" w:rsidRPr="002A07E8">
        <w:t>is</w:t>
      </w:r>
      <w:r w:rsidRPr="002A07E8">
        <w:t xml:space="preserve"> a school of choice for students </w:t>
      </w:r>
      <w:r>
        <w:t xml:space="preserve">in the northern Gold Coast area.  </w:t>
      </w:r>
      <w:r w:rsidR="00204270">
        <w:t>The school is currently at full capacity</w:t>
      </w:r>
      <w:r w:rsidR="00CC46F1">
        <w:t xml:space="preserve"> with a</w:t>
      </w:r>
      <w:r>
        <w:t xml:space="preserve">pproximately 50% of students </w:t>
      </w:r>
      <w:r w:rsidR="00204270">
        <w:t xml:space="preserve">attending the school from outside the </w:t>
      </w:r>
      <w:r w:rsidR="00CC46F1">
        <w:t>catchment area.  There are a limited number of out of catchment enrolments accepted each year.  Applications from out of catchment enrolments are rigorously tested for acceptance into one of the school</w:t>
      </w:r>
      <w:r w:rsidR="0061238E">
        <w:t>’</w:t>
      </w:r>
      <w:r w:rsidR="00CC46F1">
        <w:t xml:space="preserve">s excellence programs.   </w:t>
      </w:r>
    </w:p>
    <w:p w:rsidR="00CB4222" w:rsidRPr="00C33611" w:rsidRDefault="00CB4222" w:rsidP="00CB4222">
      <w:pPr>
        <w:rPr>
          <w:b/>
          <w:sz w:val="28"/>
          <w:szCs w:val="28"/>
        </w:rPr>
      </w:pPr>
      <w:r w:rsidRPr="00C33611">
        <w:rPr>
          <w:b/>
          <w:sz w:val="28"/>
          <w:szCs w:val="28"/>
        </w:rPr>
        <w:t>School Opinion Survey</w:t>
      </w:r>
    </w:p>
    <w:p w:rsidR="00CB4222" w:rsidRPr="0046293C" w:rsidRDefault="00CB4222" w:rsidP="00CB4222">
      <w:pPr>
        <w:rPr>
          <w:b/>
        </w:rPr>
      </w:pPr>
      <w:r w:rsidRPr="0046293C">
        <w:rPr>
          <w:b/>
        </w:rPr>
        <w:t>Parents 100% Agreement</w:t>
      </w:r>
    </w:p>
    <w:tbl>
      <w:tblPr>
        <w:tblW w:w="8855" w:type="dxa"/>
        <w:tblLook w:val="04A0" w:firstRow="1" w:lastRow="0" w:firstColumn="1" w:lastColumn="0" w:noHBand="0" w:noVBand="1"/>
      </w:tblPr>
      <w:tblGrid>
        <w:gridCol w:w="8855"/>
      </w:tblGrid>
      <w:tr w:rsidR="00CB4222" w:rsidRPr="00C33611" w:rsidTr="002150EB">
        <w:trPr>
          <w:trHeight w:val="287"/>
        </w:trPr>
        <w:tc>
          <w:tcPr>
            <w:tcW w:w="8855" w:type="dxa"/>
            <w:tcBorders>
              <w:top w:val="nil"/>
              <w:left w:val="nil"/>
              <w:bottom w:val="nil"/>
              <w:right w:val="nil"/>
            </w:tcBorders>
            <w:shd w:val="clear" w:color="auto" w:fill="auto"/>
            <w:hideMark/>
          </w:tcPr>
          <w:p w:rsidR="00CB4222" w:rsidRPr="00C33611" w:rsidRDefault="00CB4222" w:rsidP="002150EB">
            <w:pPr>
              <w:spacing w:after="0" w:line="240" w:lineRule="auto"/>
              <w:rPr>
                <w:rFonts w:ascii="Arial" w:eastAsia="Times New Roman" w:hAnsi="Arial" w:cs="Arial"/>
                <w:color w:val="000000"/>
                <w:sz w:val="16"/>
                <w:szCs w:val="16"/>
              </w:rPr>
            </w:pPr>
            <w:r w:rsidRPr="00C33611">
              <w:rPr>
                <w:rFonts w:ascii="Arial" w:eastAsia="Times New Roman" w:hAnsi="Arial" w:cs="Arial"/>
                <w:color w:val="000000"/>
                <w:sz w:val="16"/>
                <w:szCs w:val="16"/>
              </w:rPr>
              <w:t>My child's learning needs are being met at this school.</w:t>
            </w:r>
          </w:p>
        </w:tc>
      </w:tr>
      <w:tr w:rsidR="00CB4222" w:rsidRPr="00C33611" w:rsidTr="002150EB">
        <w:trPr>
          <w:trHeight w:val="287"/>
        </w:trPr>
        <w:tc>
          <w:tcPr>
            <w:tcW w:w="8855" w:type="dxa"/>
            <w:tcBorders>
              <w:top w:val="nil"/>
              <w:left w:val="nil"/>
              <w:bottom w:val="nil"/>
              <w:right w:val="nil"/>
            </w:tcBorders>
            <w:shd w:val="clear" w:color="auto" w:fill="auto"/>
            <w:hideMark/>
          </w:tcPr>
          <w:p w:rsidR="00CB4222" w:rsidRPr="00C33611" w:rsidRDefault="00CB4222" w:rsidP="002150EB">
            <w:pPr>
              <w:spacing w:after="0" w:line="240" w:lineRule="auto"/>
              <w:rPr>
                <w:rFonts w:ascii="Arial" w:eastAsia="Times New Roman" w:hAnsi="Arial" w:cs="Arial"/>
                <w:color w:val="000000"/>
                <w:sz w:val="16"/>
                <w:szCs w:val="16"/>
              </w:rPr>
            </w:pPr>
            <w:r w:rsidRPr="00C33611">
              <w:rPr>
                <w:rFonts w:ascii="Arial" w:eastAsia="Times New Roman" w:hAnsi="Arial" w:cs="Arial"/>
                <w:color w:val="000000"/>
                <w:sz w:val="16"/>
                <w:szCs w:val="16"/>
              </w:rPr>
              <w:t>My child is making good progress at this school.</w:t>
            </w:r>
          </w:p>
        </w:tc>
      </w:tr>
      <w:tr w:rsidR="00CB4222" w:rsidRPr="00C33611" w:rsidTr="002150EB">
        <w:trPr>
          <w:trHeight w:val="287"/>
        </w:trPr>
        <w:tc>
          <w:tcPr>
            <w:tcW w:w="8855" w:type="dxa"/>
            <w:tcBorders>
              <w:top w:val="nil"/>
              <w:left w:val="nil"/>
              <w:bottom w:val="nil"/>
              <w:right w:val="nil"/>
            </w:tcBorders>
            <w:shd w:val="clear" w:color="auto" w:fill="auto"/>
            <w:hideMark/>
          </w:tcPr>
          <w:p w:rsidR="00CB4222" w:rsidRPr="00C33611" w:rsidRDefault="00CB4222" w:rsidP="002150EB">
            <w:pPr>
              <w:spacing w:after="0" w:line="240" w:lineRule="auto"/>
              <w:rPr>
                <w:rFonts w:ascii="Arial" w:eastAsia="Times New Roman" w:hAnsi="Arial" w:cs="Arial"/>
                <w:color w:val="000000"/>
                <w:sz w:val="16"/>
                <w:szCs w:val="16"/>
              </w:rPr>
            </w:pPr>
            <w:r w:rsidRPr="00C33611">
              <w:rPr>
                <w:rFonts w:ascii="Arial" w:eastAsia="Times New Roman" w:hAnsi="Arial" w:cs="Arial"/>
                <w:color w:val="000000"/>
                <w:sz w:val="16"/>
                <w:szCs w:val="16"/>
              </w:rPr>
              <w:t>Teachers at this school expect my child to do his or her best.</w:t>
            </w:r>
          </w:p>
        </w:tc>
      </w:tr>
      <w:tr w:rsidR="00CB4222" w:rsidRPr="00C33611" w:rsidTr="002150EB">
        <w:trPr>
          <w:trHeight w:val="287"/>
        </w:trPr>
        <w:tc>
          <w:tcPr>
            <w:tcW w:w="8855" w:type="dxa"/>
            <w:tcBorders>
              <w:top w:val="nil"/>
              <w:left w:val="nil"/>
              <w:bottom w:val="nil"/>
              <w:right w:val="nil"/>
            </w:tcBorders>
            <w:shd w:val="clear" w:color="auto" w:fill="auto"/>
            <w:hideMark/>
          </w:tcPr>
          <w:p w:rsidR="00CB4222" w:rsidRPr="00C33611" w:rsidRDefault="00CB4222" w:rsidP="002150EB">
            <w:pPr>
              <w:spacing w:after="0" w:line="240" w:lineRule="auto"/>
              <w:rPr>
                <w:rFonts w:ascii="Arial" w:eastAsia="Times New Roman" w:hAnsi="Arial" w:cs="Arial"/>
                <w:color w:val="000000"/>
                <w:sz w:val="16"/>
                <w:szCs w:val="16"/>
              </w:rPr>
            </w:pPr>
            <w:r w:rsidRPr="00C33611">
              <w:rPr>
                <w:rFonts w:ascii="Arial" w:eastAsia="Times New Roman" w:hAnsi="Arial" w:cs="Arial"/>
                <w:color w:val="000000"/>
                <w:sz w:val="16"/>
                <w:szCs w:val="16"/>
              </w:rPr>
              <w:t>Teachers at this school provide my child with useful feedback about his or her school work.</w:t>
            </w:r>
          </w:p>
        </w:tc>
      </w:tr>
      <w:tr w:rsidR="00CB4222" w:rsidRPr="00C33611" w:rsidTr="002150EB">
        <w:trPr>
          <w:trHeight w:val="287"/>
        </w:trPr>
        <w:tc>
          <w:tcPr>
            <w:tcW w:w="8855" w:type="dxa"/>
            <w:tcBorders>
              <w:top w:val="nil"/>
              <w:left w:val="nil"/>
              <w:bottom w:val="nil"/>
              <w:right w:val="nil"/>
            </w:tcBorders>
            <w:shd w:val="clear" w:color="auto" w:fill="auto"/>
            <w:hideMark/>
          </w:tcPr>
          <w:p w:rsidR="00CB4222" w:rsidRPr="00C33611" w:rsidRDefault="00CB4222" w:rsidP="002150EB">
            <w:pPr>
              <w:spacing w:after="0" w:line="240" w:lineRule="auto"/>
              <w:rPr>
                <w:rFonts w:ascii="Arial" w:eastAsia="Times New Roman" w:hAnsi="Arial" w:cs="Arial"/>
                <w:color w:val="000000"/>
                <w:sz w:val="16"/>
                <w:szCs w:val="16"/>
              </w:rPr>
            </w:pPr>
            <w:r w:rsidRPr="00C33611">
              <w:rPr>
                <w:rFonts w:ascii="Arial" w:eastAsia="Times New Roman" w:hAnsi="Arial" w:cs="Arial"/>
                <w:color w:val="000000"/>
                <w:sz w:val="16"/>
                <w:szCs w:val="16"/>
              </w:rPr>
              <w:t>My child is getting a good education at this school.</w:t>
            </w:r>
          </w:p>
        </w:tc>
      </w:tr>
      <w:tr w:rsidR="00CB4222" w:rsidRPr="00C33611" w:rsidTr="002150EB">
        <w:trPr>
          <w:trHeight w:val="287"/>
        </w:trPr>
        <w:tc>
          <w:tcPr>
            <w:tcW w:w="8855" w:type="dxa"/>
            <w:tcBorders>
              <w:top w:val="nil"/>
              <w:left w:val="nil"/>
              <w:bottom w:val="nil"/>
              <w:right w:val="nil"/>
            </w:tcBorders>
            <w:shd w:val="clear" w:color="auto" w:fill="auto"/>
            <w:hideMark/>
          </w:tcPr>
          <w:p w:rsidR="00CB4222" w:rsidRPr="00C33611" w:rsidRDefault="00CB4222" w:rsidP="002150EB">
            <w:pPr>
              <w:spacing w:after="0" w:line="240" w:lineRule="auto"/>
              <w:rPr>
                <w:rFonts w:ascii="Arial" w:eastAsia="Times New Roman" w:hAnsi="Arial" w:cs="Arial"/>
                <w:color w:val="000000"/>
                <w:sz w:val="16"/>
                <w:szCs w:val="16"/>
              </w:rPr>
            </w:pPr>
            <w:r w:rsidRPr="00C33611">
              <w:rPr>
                <w:rFonts w:ascii="Arial" w:eastAsia="Times New Roman" w:hAnsi="Arial" w:cs="Arial"/>
                <w:color w:val="000000"/>
                <w:sz w:val="16"/>
                <w:szCs w:val="16"/>
              </w:rPr>
              <w:t>This school encourages me to take an active role in my child's education.</w:t>
            </w:r>
          </w:p>
        </w:tc>
      </w:tr>
      <w:tr w:rsidR="00CB4222" w:rsidRPr="00C33611" w:rsidTr="002150EB">
        <w:trPr>
          <w:trHeight w:val="287"/>
        </w:trPr>
        <w:tc>
          <w:tcPr>
            <w:tcW w:w="8855" w:type="dxa"/>
            <w:tcBorders>
              <w:top w:val="nil"/>
              <w:left w:val="nil"/>
              <w:bottom w:val="nil"/>
              <w:right w:val="nil"/>
            </w:tcBorders>
            <w:shd w:val="clear" w:color="auto" w:fill="auto"/>
            <w:hideMark/>
          </w:tcPr>
          <w:p w:rsidR="00CB4222" w:rsidRPr="00C33611" w:rsidRDefault="00CB4222" w:rsidP="002150EB">
            <w:pPr>
              <w:spacing w:after="0" w:line="240" w:lineRule="auto"/>
              <w:rPr>
                <w:rFonts w:ascii="Arial" w:eastAsia="Times New Roman" w:hAnsi="Arial" w:cs="Arial"/>
                <w:color w:val="000000"/>
                <w:sz w:val="16"/>
                <w:szCs w:val="16"/>
              </w:rPr>
            </w:pPr>
            <w:r w:rsidRPr="00C33611">
              <w:rPr>
                <w:rFonts w:ascii="Arial" w:eastAsia="Times New Roman" w:hAnsi="Arial" w:cs="Arial"/>
                <w:color w:val="000000"/>
                <w:sz w:val="16"/>
                <w:szCs w:val="16"/>
              </w:rPr>
              <w:t>This school provides me with useful feedback about my child's progress.</w:t>
            </w:r>
          </w:p>
        </w:tc>
      </w:tr>
      <w:tr w:rsidR="00CB4222" w:rsidRPr="00C33611" w:rsidTr="002150EB">
        <w:trPr>
          <w:trHeight w:val="287"/>
        </w:trPr>
        <w:tc>
          <w:tcPr>
            <w:tcW w:w="8855" w:type="dxa"/>
            <w:tcBorders>
              <w:top w:val="nil"/>
              <w:left w:val="nil"/>
              <w:bottom w:val="nil"/>
              <w:right w:val="nil"/>
            </w:tcBorders>
            <w:shd w:val="clear" w:color="auto" w:fill="auto"/>
            <w:hideMark/>
          </w:tcPr>
          <w:p w:rsidR="00CB4222" w:rsidRDefault="00CB4222" w:rsidP="00CB4222">
            <w:pPr>
              <w:spacing w:after="0" w:line="240" w:lineRule="auto"/>
              <w:rPr>
                <w:rFonts w:ascii="Arial" w:eastAsia="Times New Roman" w:hAnsi="Arial" w:cs="Arial"/>
                <w:color w:val="000000"/>
                <w:sz w:val="16"/>
                <w:szCs w:val="16"/>
              </w:rPr>
            </w:pPr>
            <w:r w:rsidRPr="00C33611">
              <w:rPr>
                <w:rFonts w:ascii="Arial" w:eastAsia="Times New Roman" w:hAnsi="Arial" w:cs="Arial"/>
                <w:color w:val="000000"/>
                <w:sz w:val="16"/>
                <w:szCs w:val="16"/>
              </w:rPr>
              <w:t>I would recommend this school to others.</w:t>
            </w:r>
          </w:p>
          <w:p w:rsidR="00FF4EF2" w:rsidRDefault="00FF4EF2" w:rsidP="00CB4222">
            <w:pPr>
              <w:spacing w:after="0" w:line="240" w:lineRule="auto"/>
              <w:rPr>
                <w:rFonts w:ascii="Arial" w:eastAsia="Times New Roman" w:hAnsi="Arial" w:cs="Arial"/>
                <w:color w:val="000000"/>
                <w:sz w:val="16"/>
                <w:szCs w:val="16"/>
              </w:rPr>
            </w:pPr>
          </w:p>
          <w:p w:rsidR="00CB4222" w:rsidRDefault="00CB4222" w:rsidP="00CB4222">
            <w:pPr>
              <w:spacing w:after="0" w:line="240" w:lineRule="auto"/>
              <w:rPr>
                <w:rFonts w:ascii="Arial" w:eastAsia="Times New Roman" w:hAnsi="Arial" w:cs="Arial"/>
                <w:color w:val="000000"/>
                <w:sz w:val="16"/>
                <w:szCs w:val="16"/>
              </w:rPr>
            </w:pPr>
            <w:r w:rsidRPr="00C33611">
              <w:rPr>
                <w:rFonts w:ascii="Arial" w:eastAsia="Times New Roman" w:hAnsi="Arial" w:cs="Arial"/>
                <w:color w:val="000000"/>
                <w:sz w:val="16"/>
                <w:szCs w:val="16"/>
              </w:rPr>
              <w:t>This is a good school.</w:t>
            </w:r>
          </w:p>
          <w:p w:rsidR="00CB4222" w:rsidRPr="00C33611" w:rsidRDefault="00CB4222" w:rsidP="002150EB">
            <w:pPr>
              <w:spacing w:after="0" w:line="240" w:lineRule="auto"/>
              <w:rPr>
                <w:rFonts w:ascii="Arial" w:eastAsia="Times New Roman" w:hAnsi="Arial" w:cs="Arial"/>
                <w:color w:val="000000"/>
                <w:sz w:val="16"/>
                <w:szCs w:val="16"/>
              </w:rPr>
            </w:pPr>
          </w:p>
        </w:tc>
      </w:tr>
    </w:tbl>
    <w:p w:rsidR="00C33611" w:rsidRDefault="008F5FB3">
      <w:r>
        <w:t xml:space="preserve">The </w:t>
      </w:r>
      <w:r w:rsidR="0061238E">
        <w:t>Queensland Education D</w:t>
      </w:r>
      <w:r>
        <w:t xml:space="preserve">epartment conducts annual school opinion surveys for each school in the state.  Parents are </w:t>
      </w:r>
      <w:r w:rsidR="0041390D">
        <w:t xml:space="preserve">randomly selected and </w:t>
      </w:r>
      <w:r>
        <w:t xml:space="preserve">asked to indicate their thoughts on a range of issues relating to their child’s education.  </w:t>
      </w:r>
      <w:r w:rsidR="0041390D">
        <w:t xml:space="preserve">The last survey was conducted in 2015 and </w:t>
      </w:r>
      <w:r w:rsidR="004A56ED">
        <w:t>the parents/caregivers of students at Helensvale High School</w:t>
      </w:r>
      <w:r w:rsidR="00D01037">
        <w:t xml:space="preserve"> </w:t>
      </w:r>
      <w:r w:rsidR="0041390D">
        <w:t xml:space="preserve">indicated they </w:t>
      </w:r>
      <w:r w:rsidR="00D01037">
        <w:t xml:space="preserve">were in 100% agreement with </w:t>
      </w:r>
      <w:r>
        <w:t xml:space="preserve">the statements </w:t>
      </w:r>
      <w:r w:rsidR="00D01037">
        <w:t xml:space="preserve">listed </w:t>
      </w:r>
      <w:r>
        <w:t>above</w:t>
      </w:r>
      <w:r w:rsidR="00D01037">
        <w:t>.</w:t>
      </w:r>
      <w:r w:rsidR="00B05294">
        <w:t xml:space="preserve">  The school recognises the important role parents play in the education and wellbeing of students.  Parents are encouraged to be active participants in their child’s education and be part of the school community.  </w:t>
      </w:r>
      <w:r w:rsidR="00E94A3E">
        <w:t>Transforming school culture within the community has been one of our aims.</w:t>
      </w:r>
      <w:r w:rsidR="00B05294">
        <w:t xml:space="preserve">  </w:t>
      </w:r>
      <w:r>
        <w:t xml:space="preserve"> </w:t>
      </w:r>
    </w:p>
    <w:sectPr w:rsidR="00C336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E8"/>
    <w:rsid w:val="00047B76"/>
    <w:rsid w:val="000812F6"/>
    <w:rsid w:val="000E2452"/>
    <w:rsid w:val="001E24D6"/>
    <w:rsid w:val="00204270"/>
    <w:rsid w:val="002150EB"/>
    <w:rsid w:val="00231A2A"/>
    <w:rsid w:val="00243F29"/>
    <w:rsid w:val="0028161C"/>
    <w:rsid w:val="002965C7"/>
    <w:rsid w:val="002A07E8"/>
    <w:rsid w:val="002C387B"/>
    <w:rsid w:val="00332638"/>
    <w:rsid w:val="003B165F"/>
    <w:rsid w:val="00410C21"/>
    <w:rsid w:val="00410E9E"/>
    <w:rsid w:val="0041390D"/>
    <w:rsid w:val="0046293C"/>
    <w:rsid w:val="00490C26"/>
    <w:rsid w:val="004A21E1"/>
    <w:rsid w:val="004A56ED"/>
    <w:rsid w:val="004B0428"/>
    <w:rsid w:val="004B6C0F"/>
    <w:rsid w:val="005656D2"/>
    <w:rsid w:val="00590D97"/>
    <w:rsid w:val="0059682D"/>
    <w:rsid w:val="0061238E"/>
    <w:rsid w:val="00640762"/>
    <w:rsid w:val="00700905"/>
    <w:rsid w:val="007277D0"/>
    <w:rsid w:val="00775197"/>
    <w:rsid w:val="007A58D8"/>
    <w:rsid w:val="007B0835"/>
    <w:rsid w:val="007E1724"/>
    <w:rsid w:val="00857478"/>
    <w:rsid w:val="00883655"/>
    <w:rsid w:val="008F5FB3"/>
    <w:rsid w:val="009B0B52"/>
    <w:rsid w:val="00A638C3"/>
    <w:rsid w:val="00B05294"/>
    <w:rsid w:val="00B16DE8"/>
    <w:rsid w:val="00B466E1"/>
    <w:rsid w:val="00B954A2"/>
    <w:rsid w:val="00BC678F"/>
    <w:rsid w:val="00BF4E41"/>
    <w:rsid w:val="00C33611"/>
    <w:rsid w:val="00CA238B"/>
    <w:rsid w:val="00CB27E6"/>
    <w:rsid w:val="00CB4222"/>
    <w:rsid w:val="00CC46F1"/>
    <w:rsid w:val="00D001E3"/>
    <w:rsid w:val="00D01037"/>
    <w:rsid w:val="00D1707E"/>
    <w:rsid w:val="00D21534"/>
    <w:rsid w:val="00D240E6"/>
    <w:rsid w:val="00D24BE9"/>
    <w:rsid w:val="00D33652"/>
    <w:rsid w:val="00D507FF"/>
    <w:rsid w:val="00E051F7"/>
    <w:rsid w:val="00E10A6B"/>
    <w:rsid w:val="00E477B1"/>
    <w:rsid w:val="00E94A3E"/>
    <w:rsid w:val="00EC07F5"/>
    <w:rsid w:val="00EC2C5A"/>
    <w:rsid w:val="00FD11B7"/>
    <w:rsid w:val="00FD60CD"/>
    <w:rsid w:val="00FF4EF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2">
    <w:name w:val="Calendar 2"/>
    <w:basedOn w:val="TableNormal"/>
    <w:uiPriority w:val="99"/>
    <w:qFormat/>
    <w:rsid w:val="00332638"/>
    <w:pPr>
      <w:spacing w:after="0" w:line="240" w:lineRule="auto"/>
      <w:jc w:val="center"/>
    </w:pPr>
    <w:rPr>
      <w:sz w:val="28"/>
      <w:szCs w:val="28"/>
      <w:lang w:val="en-US" w:eastAsia="en-US"/>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612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3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2">
    <w:name w:val="Calendar 2"/>
    <w:basedOn w:val="TableNormal"/>
    <w:uiPriority w:val="99"/>
    <w:qFormat/>
    <w:rsid w:val="00332638"/>
    <w:pPr>
      <w:spacing w:after="0" w:line="240" w:lineRule="auto"/>
      <w:jc w:val="center"/>
    </w:pPr>
    <w:rPr>
      <w:sz w:val="28"/>
      <w:szCs w:val="28"/>
      <w:lang w:val="en-US" w:eastAsia="en-US"/>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612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22475">
      <w:bodyDiv w:val="1"/>
      <w:marLeft w:val="0"/>
      <w:marRight w:val="0"/>
      <w:marTop w:val="0"/>
      <w:marBottom w:val="0"/>
      <w:divBdr>
        <w:top w:val="none" w:sz="0" w:space="0" w:color="auto"/>
        <w:left w:val="none" w:sz="0" w:space="0" w:color="auto"/>
        <w:bottom w:val="none" w:sz="0" w:space="0" w:color="auto"/>
        <w:right w:val="none" w:sz="0" w:space="0" w:color="auto"/>
      </w:divBdr>
    </w:div>
    <w:div w:id="384646074">
      <w:bodyDiv w:val="1"/>
      <w:marLeft w:val="0"/>
      <w:marRight w:val="0"/>
      <w:marTop w:val="0"/>
      <w:marBottom w:val="0"/>
      <w:divBdr>
        <w:top w:val="none" w:sz="0" w:space="0" w:color="auto"/>
        <w:left w:val="none" w:sz="0" w:space="0" w:color="auto"/>
        <w:bottom w:val="none" w:sz="0" w:space="0" w:color="auto"/>
        <w:right w:val="none" w:sz="0" w:space="0" w:color="auto"/>
      </w:divBdr>
    </w:div>
    <w:div w:id="148223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mafor0\My%20Documents\Helensvale%20SHS\Data\Data%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afor0\My%20Documents\Helensvale%20SHS\Data\Data%201.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file:///D:\mafor0\My%20Documents\Helensvale%20SHS\Data\Data%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afor0\Documents\Documents\Helensvale%20SHS\data%20spreadsheet.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7.xml.rels><?xml version="1.0" encoding="UTF-8" standalone="yes"?>
<Relationships xmlns="http://schemas.openxmlformats.org/package/2006/relationships"><Relationship Id="rId1" Type="http://schemas.openxmlformats.org/officeDocument/2006/relationships/oleObject" Target="file:///D:\mafor0\My%20Documents\Helensvale%20SHS\enrolment%20graph%202011%20to%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AU" b="1"/>
              <a:t>% of Students</a:t>
            </a:r>
            <a:r>
              <a:rPr lang="en-AU" b="1" baseline="0"/>
              <a:t> with a C or better in English, Maths and Science - Yrs 7 to 10</a:t>
            </a:r>
            <a:endParaRPr lang="en-AU" b="1"/>
          </a:p>
        </c:rich>
      </c:tx>
      <c:overlay val="0"/>
      <c:spPr>
        <a:noFill/>
        <a:ln>
          <a:noFill/>
        </a:ln>
        <a:effectLst/>
      </c:spPr>
    </c:title>
    <c:autoTitleDeleted val="0"/>
    <c:plotArea>
      <c:layout/>
      <c:barChart>
        <c:barDir val="col"/>
        <c:grouping val="clustered"/>
        <c:varyColors val="0"/>
        <c:ser>
          <c:idx val="0"/>
          <c:order val="0"/>
          <c:tx>
            <c:v>2013</c:v>
          </c:tx>
          <c:spPr>
            <a:solidFill>
              <a:schemeClr val="accent1"/>
            </a:solidFill>
            <a:ln>
              <a:noFill/>
            </a:ln>
            <a:effectLst/>
          </c:spPr>
          <c:invertIfNegative val="0"/>
          <c:cat>
            <c:strRef>
              <c:f>(LOA!$K$14,LOA!$M$14,LOA!$O$14)</c:f>
              <c:strCache>
                <c:ptCount val="3"/>
                <c:pt idx="0">
                  <c:v>English</c:v>
                </c:pt>
                <c:pt idx="1">
                  <c:v>Maths</c:v>
                </c:pt>
                <c:pt idx="2">
                  <c:v>Science</c:v>
                </c:pt>
              </c:strCache>
            </c:strRef>
          </c:cat>
          <c:val>
            <c:numRef>
              <c:f>(LOA!$L$15,LOA!$N$15,LOA!$P$15)</c:f>
              <c:numCache>
                <c:formatCode>General</c:formatCode>
                <c:ptCount val="3"/>
                <c:pt idx="0">
                  <c:v>77.599999999999994</c:v>
                </c:pt>
                <c:pt idx="1">
                  <c:v>70</c:v>
                </c:pt>
                <c:pt idx="2">
                  <c:v>83</c:v>
                </c:pt>
              </c:numCache>
            </c:numRef>
          </c:val>
        </c:ser>
        <c:ser>
          <c:idx val="1"/>
          <c:order val="1"/>
          <c:tx>
            <c:v>2014</c:v>
          </c:tx>
          <c:spPr>
            <a:solidFill>
              <a:schemeClr val="accent2"/>
            </a:solidFill>
            <a:ln>
              <a:noFill/>
            </a:ln>
            <a:effectLst/>
          </c:spPr>
          <c:invertIfNegative val="0"/>
          <c:cat>
            <c:strRef>
              <c:f>(LOA!$K$14,LOA!$M$14,LOA!$O$14)</c:f>
              <c:strCache>
                <c:ptCount val="3"/>
                <c:pt idx="0">
                  <c:v>English</c:v>
                </c:pt>
                <c:pt idx="1">
                  <c:v>Maths</c:v>
                </c:pt>
                <c:pt idx="2">
                  <c:v>Science</c:v>
                </c:pt>
              </c:strCache>
            </c:strRef>
          </c:cat>
          <c:val>
            <c:numRef>
              <c:f>(LOA!$L$16,LOA!$N$16,LOA!$P$16)</c:f>
              <c:numCache>
                <c:formatCode>General</c:formatCode>
                <c:ptCount val="3"/>
                <c:pt idx="0">
                  <c:v>82.4</c:v>
                </c:pt>
                <c:pt idx="1">
                  <c:v>86.1</c:v>
                </c:pt>
                <c:pt idx="2">
                  <c:v>85.7</c:v>
                </c:pt>
              </c:numCache>
            </c:numRef>
          </c:val>
        </c:ser>
        <c:ser>
          <c:idx val="2"/>
          <c:order val="2"/>
          <c:tx>
            <c:v>2015</c:v>
          </c:tx>
          <c:spPr>
            <a:solidFill>
              <a:schemeClr val="accent3"/>
            </a:solidFill>
            <a:ln>
              <a:noFill/>
            </a:ln>
            <a:effectLst/>
          </c:spPr>
          <c:invertIfNegative val="0"/>
          <c:cat>
            <c:strRef>
              <c:f>(LOA!$K$14,LOA!$M$14,LOA!$O$14)</c:f>
              <c:strCache>
                <c:ptCount val="3"/>
                <c:pt idx="0">
                  <c:v>English</c:v>
                </c:pt>
                <c:pt idx="1">
                  <c:v>Maths</c:v>
                </c:pt>
                <c:pt idx="2">
                  <c:v>Science</c:v>
                </c:pt>
              </c:strCache>
            </c:strRef>
          </c:cat>
          <c:val>
            <c:numRef>
              <c:f>(LOA!$L$17,LOA!$N$17,LOA!$P$17)</c:f>
              <c:numCache>
                <c:formatCode>General</c:formatCode>
                <c:ptCount val="3"/>
                <c:pt idx="0">
                  <c:v>85</c:v>
                </c:pt>
                <c:pt idx="1">
                  <c:v>87.3</c:v>
                </c:pt>
                <c:pt idx="2">
                  <c:v>86.7</c:v>
                </c:pt>
              </c:numCache>
            </c:numRef>
          </c:val>
        </c:ser>
        <c:ser>
          <c:idx val="3"/>
          <c:order val="3"/>
          <c:tx>
            <c:v>2016</c:v>
          </c:tx>
          <c:spPr>
            <a:solidFill>
              <a:schemeClr val="accent4"/>
            </a:solidFill>
            <a:ln>
              <a:noFill/>
            </a:ln>
            <a:effectLst/>
          </c:spPr>
          <c:invertIfNegative val="0"/>
          <c:val>
            <c:numRef>
              <c:f>(LOA!$L$18,LOA!$N$18,LOA!$P$18)</c:f>
              <c:numCache>
                <c:formatCode>General</c:formatCode>
                <c:ptCount val="3"/>
                <c:pt idx="0">
                  <c:v>84.5</c:v>
                </c:pt>
                <c:pt idx="1">
                  <c:v>88.8</c:v>
                </c:pt>
                <c:pt idx="2">
                  <c:v>94</c:v>
                </c:pt>
              </c:numCache>
            </c:numRef>
          </c:val>
        </c:ser>
        <c:dLbls>
          <c:showLegendKey val="0"/>
          <c:showVal val="0"/>
          <c:showCatName val="0"/>
          <c:showSerName val="0"/>
          <c:showPercent val="0"/>
          <c:showBubbleSize val="0"/>
        </c:dLbls>
        <c:gapWidth val="219"/>
        <c:overlap val="-27"/>
        <c:axId val="74267648"/>
        <c:axId val="74277632"/>
      </c:barChart>
      <c:catAx>
        <c:axId val="7426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74277632"/>
        <c:crosses val="autoZero"/>
        <c:auto val="1"/>
        <c:lblAlgn val="ctr"/>
        <c:lblOffset val="100"/>
        <c:noMultiLvlLbl val="0"/>
      </c:catAx>
      <c:valAx>
        <c:axId val="74277632"/>
        <c:scaling>
          <c:orientation val="minMax"/>
          <c:min val="6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74267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 of Year 9 Students above NMS compared to the Nation</a:t>
            </a:r>
          </a:p>
        </c:rich>
      </c:tx>
      <c:overlay val="0"/>
      <c:spPr>
        <a:noFill/>
        <a:ln>
          <a:noFill/>
        </a:ln>
        <a:effectLst/>
      </c:spPr>
    </c:title>
    <c:autoTitleDeleted val="0"/>
    <c:plotArea>
      <c:layout/>
      <c:barChart>
        <c:barDir val="col"/>
        <c:grouping val="clustered"/>
        <c:varyColors val="0"/>
        <c:ser>
          <c:idx val="0"/>
          <c:order val="0"/>
          <c:tx>
            <c:strRef>
              <c:f>Naplan!$X$35</c:f>
              <c:strCache>
                <c:ptCount val="1"/>
                <c:pt idx="0">
                  <c:v>2013</c:v>
                </c:pt>
              </c:strCache>
            </c:strRef>
          </c:tx>
          <c:spPr>
            <a:solidFill>
              <a:schemeClr val="accent1"/>
            </a:solidFill>
            <a:ln>
              <a:noFill/>
            </a:ln>
            <a:effectLst/>
          </c:spPr>
          <c:invertIfNegative val="0"/>
          <c:cat>
            <c:strRef>
              <c:f>Naplan!$W$36:$W$40</c:f>
              <c:strCache>
                <c:ptCount val="5"/>
                <c:pt idx="0">
                  <c:v>Reading</c:v>
                </c:pt>
                <c:pt idx="1">
                  <c:v>Writing</c:v>
                </c:pt>
                <c:pt idx="2">
                  <c:v>Spelling</c:v>
                </c:pt>
                <c:pt idx="3">
                  <c:v>G&amp;P</c:v>
                </c:pt>
                <c:pt idx="4">
                  <c:v>Numeracy</c:v>
                </c:pt>
              </c:strCache>
            </c:strRef>
          </c:cat>
          <c:val>
            <c:numRef>
              <c:f>Naplan!$X$36:$X$40</c:f>
              <c:numCache>
                <c:formatCode>General</c:formatCode>
                <c:ptCount val="5"/>
                <c:pt idx="0">
                  <c:v>0.39999999999999147</c:v>
                </c:pt>
                <c:pt idx="1">
                  <c:v>2.3000000000000114</c:v>
                </c:pt>
                <c:pt idx="2">
                  <c:v>1.0999999999999943</c:v>
                </c:pt>
                <c:pt idx="3">
                  <c:v>0</c:v>
                </c:pt>
                <c:pt idx="4">
                  <c:v>0.40000000000000568</c:v>
                </c:pt>
              </c:numCache>
            </c:numRef>
          </c:val>
        </c:ser>
        <c:ser>
          <c:idx val="1"/>
          <c:order val="1"/>
          <c:tx>
            <c:strRef>
              <c:f>Naplan!$Y$35</c:f>
              <c:strCache>
                <c:ptCount val="1"/>
                <c:pt idx="0">
                  <c:v>2014</c:v>
                </c:pt>
              </c:strCache>
            </c:strRef>
          </c:tx>
          <c:spPr>
            <a:solidFill>
              <a:schemeClr val="accent2"/>
            </a:solidFill>
            <a:ln>
              <a:noFill/>
            </a:ln>
            <a:effectLst/>
          </c:spPr>
          <c:invertIfNegative val="0"/>
          <c:cat>
            <c:strRef>
              <c:f>Naplan!$W$36:$W$40</c:f>
              <c:strCache>
                <c:ptCount val="5"/>
                <c:pt idx="0">
                  <c:v>Reading</c:v>
                </c:pt>
                <c:pt idx="1">
                  <c:v>Writing</c:v>
                </c:pt>
                <c:pt idx="2">
                  <c:v>Spelling</c:v>
                </c:pt>
                <c:pt idx="3">
                  <c:v>G&amp;P</c:v>
                </c:pt>
                <c:pt idx="4">
                  <c:v>Numeracy</c:v>
                </c:pt>
              </c:strCache>
            </c:strRef>
          </c:cat>
          <c:val>
            <c:numRef>
              <c:f>Naplan!$Y$36:$Y$40</c:f>
              <c:numCache>
                <c:formatCode>General</c:formatCode>
                <c:ptCount val="5"/>
                <c:pt idx="0">
                  <c:v>0.40000000000000568</c:v>
                </c:pt>
                <c:pt idx="1">
                  <c:v>-1.5</c:v>
                </c:pt>
                <c:pt idx="2">
                  <c:v>4.7999999999999972</c:v>
                </c:pt>
                <c:pt idx="3">
                  <c:v>-1.5</c:v>
                </c:pt>
                <c:pt idx="4">
                  <c:v>2.0999999999999943</c:v>
                </c:pt>
              </c:numCache>
            </c:numRef>
          </c:val>
        </c:ser>
        <c:ser>
          <c:idx val="2"/>
          <c:order val="2"/>
          <c:tx>
            <c:strRef>
              <c:f>Naplan!$Z$35</c:f>
              <c:strCache>
                <c:ptCount val="1"/>
                <c:pt idx="0">
                  <c:v>2015</c:v>
                </c:pt>
              </c:strCache>
            </c:strRef>
          </c:tx>
          <c:spPr>
            <a:solidFill>
              <a:schemeClr val="accent3"/>
            </a:solidFill>
            <a:ln>
              <a:noFill/>
            </a:ln>
            <a:effectLst/>
          </c:spPr>
          <c:invertIfNegative val="0"/>
          <c:cat>
            <c:strRef>
              <c:f>Naplan!$W$36:$W$40</c:f>
              <c:strCache>
                <c:ptCount val="5"/>
                <c:pt idx="0">
                  <c:v>Reading</c:v>
                </c:pt>
                <c:pt idx="1">
                  <c:v>Writing</c:v>
                </c:pt>
                <c:pt idx="2">
                  <c:v>Spelling</c:v>
                </c:pt>
                <c:pt idx="3">
                  <c:v>G&amp;P</c:v>
                </c:pt>
                <c:pt idx="4">
                  <c:v>Numeracy</c:v>
                </c:pt>
              </c:strCache>
            </c:strRef>
          </c:cat>
          <c:val>
            <c:numRef>
              <c:f>Naplan!$Z$36:$Z$40</c:f>
              <c:numCache>
                <c:formatCode>General</c:formatCode>
                <c:ptCount val="5"/>
                <c:pt idx="0">
                  <c:v>3.2000000000000028</c:v>
                </c:pt>
                <c:pt idx="1">
                  <c:v>-0.10000000000000853</c:v>
                </c:pt>
                <c:pt idx="2">
                  <c:v>3.2999999999999972</c:v>
                </c:pt>
                <c:pt idx="3">
                  <c:v>2.7999999999999972</c:v>
                </c:pt>
                <c:pt idx="4">
                  <c:v>3</c:v>
                </c:pt>
              </c:numCache>
            </c:numRef>
          </c:val>
        </c:ser>
        <c:dLbls>
          <c:showLegendKey val="0"/>
          <c:showVal val="0"/>
          <c:showCatName val="0"/>
          <c:showSerName val="0"/>
          <c:showPercent val="0"/>
          <c:showBubbleSize val="0"/>
        </c:dLbls>
        <c:gapWidth val="219"/>
        <c:overlap val="-27"/>
        <c:axId val="75290880"/>
        <c:axId val="75309056"/>
      </c:barChart>
      <c:catAx>
        <c:axId val="7529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75309056"/>
        <c:crosses val="autoZero"/>
        <c:auto val="1"/>
        <c:lblAlgn val="ctr"/>
        <c:lblOffset val="100"/>
        <c:noMultiLvlLbl val="0"/>
      </c:catAx>
      <c:valAx>
        <c:axId val="75309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75290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400" b="1" dirty="0" smtClean="0"/>
              <a:t>Percentage</a:t>
            </a:r>
            <a:r>
              <a:rPr lang="en-US" sz="1400" b="1" baseline="0" dirty="0" smtClean="0"/>
              <a:t> of students receiving </a:t>
            </a:r>
            <a:r>
              <a:rPr lang="en-US" sz="1400" b="1" dirty="0" smtClean="0"/>
              <a:t>OP </a:t>
            </a:r>
            <a:r>
              <a:rPr lang="en-US" sz="1400" b="1" dirty="0"/>
              <a:t>1-15</a:t>
            </a:r>
          </a:p>
        </c:rich>
      </c:tx>
      <c:overlay val="0"/>
      <c:spPr>
        <a:noFill/>
        <a:ln>
          <a:noFill/>
        </a:ln>
        <a:effectLst/>
      </c:spPr>
    </c:title>
    <c:autoTitleDeleted val="0"/>
    <c:plotArea>
      <c:layout/>
      <c:barChart>
        <c:barDir val="col"/>
        <c:grouping val="clustered"/>
        <c:varyColors val="0"/>
        <c:ser>
          <c:idx val="0"/>
          <c:order val="0"/>
          <c:tx>
            <c:strRef>
              <c:f>'Snr Data'!$A$4</c:f>
              <c:strCache>
                <c:ptCount val="1"/>
                <c:pt idx="0">
                  <c:v>% of OP 1-15</c:v>
                </c:pt>
              </c:strCache>
            </c:strRef>
          </c:tx>
          <c:spPr>
            <a:solidFill>
              <a:schemeClr val="accent1"/>
            </a:solidFill>
            <a:ln>
              <a:noFill/>
            </a:ln>
            <a:effectLst/>
          </c:spPr>
          <c:invertIfNegative val="0"/>
          <c:cat>
            <c:numRef>
              <c:f>'Snr Data'!$B$3:$F$3</c:f>
              <c:numCache>
                <c:formatCode>General</c:formatCode>
                <c:ptCount val="5"/>
                <c:pt idx="0">
                  <c:v>2011</c:v>
                </c:pt>
                <c:pt idx="1">
                  <c:v>2012</c:v>
                </c:pt>
                <c:pt idx="2">
                  <c:v>2013</c:v>
                </c:pt>
                <c:pt idx="3">
                  <c:v>2014</c:v>
                </c:pt>
                <c:pt idx="4">
                  <c:v>2015</c:v>
                </c:pt>
              </c:numCache>
            </c:numRef>
          </c:cat>
          <c:val>
            <c:numRef>
              <c:f>'Snr Data'!$B$4:$F$4</c:f>
              <c:numCache>
                <c:formatCode>General</c:formatCode>
                <c:ptCount val="5"/>
                <c:pt idx="0">
                  <c:v>65.099999999999994</c:v>
                </c:pt>
                <c:pt idx="1">
                  <c:v>76.099999999999994</c:v>
                </c:pt>
                <c:pt idx="2">
                  <c:v>77.5</c:v>
                </c:pt>
                <c:pt idx="3">
                  <c:v>85.8</c:v>
                </c:pt>
                <c:pt idx="4">
                  <c:v>83</c:v>
                </c:pt>
              </c:numCache>
            </c:numRef>
          </c:val>
        </c:ser>
        <c:dLbls>
          <c:showLegendKey val="0"/>
          <c:showVal val="0"/>
          <c:showCatName val="0"/>
          <c:showSerName val="0"/>
          <c:showPercent val="0"/>
          <c:showBubbleSize val="0"/>
        </c:dLbls>
        <c:gapWidth val="219"/>
        <c:overlap val="-27"/>
        <c:axId val="74199040"/>
        <c:axId val="74200576"/>
      </c:barChart>
      <c:catAx>
        <c:axId val="74199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74200576"/>
        <c:crosses val="autoZero"/>
        <c:auto val="1"/>
        <c:lblAlgn val="ctr"/>
        <c:lblOffset val="100"/>
        <c:noMultiLvlLbl val="0"/>
      </c:catAx>
      <c:valAx>
        <c:axId val="74200576"/>
        <c:scaling>
          <c:orientation val="minMax"/>
          <c:min val="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74199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'Snr Data'!$A$14</c:f>
              <c:strCache>
                <c:ptCount val="1"/>
                <c:pt idx="0">
                  <c:v>% of OP 1-5</c:v>
                </c:pt>
              </c:strCache>
            </c:strRef>
          </c:tx>
          <c:spPr>
            <a:solidFill>
              <a:schemeClr val="accent1"/>
            </a:solidFill>
            <a:ln>
              <a:noFill/>
            </a:ln>
            <a:effectLst/>
          </c:spPr>
          <c:invertIfNegative val="0"/>
          <c:cat>
            <c:numRef>
              <c:f>'Snr Data'!$B$13:$F$13</c:f>
              <c:numCache>
                <c:formatCode>General</c:formatCode>
                <c:ptCount val="5"/>
                <c:pt idx="0">
                  <c:v>2011</c:v>
                </c:pt>
                <c:pt idx="1">
                  <c:v>2012</c:v>
                </c:pt>
                <c:pt idx="2">
                  <c:v>2013</c:v>
                </c:pt>
                <c:pt idx="3">
                  <c:v>2014</c:v>
                </c:pt>
                <c:pt idx="4">
                  <c:v>2015</c:v>
                </c:pt>
              </c:numCache>
            </c:numRef>
          </c:cat>
          <c:val>
            <c:numRef>
              <c:f>'Snr Data'!$B$14:$F$14</c:f>
              <c:numCache>
                <c:formatCode>General</c:formatCode>
                <c:ptCount val="5"/>
                <c:pt idx="0">
                  <c:v>7</c:v>
                </c:pt>
                <c:pt idx="1">
                  <c:v>9.9</c:v>
                </c:pt>
                <c:pt idx="2">
                  <c:v>12.1</c:v>
                </c:pt>
                <c:pt idx="3">
                  <c:v>16.7</c:v>
                </c:pt>
                <c:pt idx="4">
                  <c:v>15.5</c:v>
                </c:pt>
              </c:numCache>
            </c:numRef>
          </c:val>
        </c:ser>
        <c:dLbls>
          <c:showLegendKey val="0"/>
          <c:showVal val="0"/>
          <c:showCatName val="0"/>
          <c:showSerName val="0"/>
          <c:showPercent val="0"/>
          <c:showBubbleSize val="0"/>
        </c:dLbls>
        <c:gapWidth val="219"/>
        <c:overlap val="-27"/>
        <c:axId val="74203136"/>
        <c:axId val="74204672"/>
      </c:barChart>
      <c:catAx>
        <c:axId val="74203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74204672"/>
        <c:crosses val="autoZero"/>
        <c:auto val="1"/>
        <c:lblAlgn val="ctr"/>
        <c:lblOffset val="100"/>
        <c:noMultiLvlLbl val="0"/>
      </c:catAx>
      <c:valAx>
        <c:axId val="74204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74203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400" b="1" dirty="0" smtClean="0"/>
              <a:t>Percentage of students receiving a </a:t>
            </a:r>
            <a:r>
              <a:rPr lang="en-US" sz="1400" b="1" dirty="0"/>
              <a:t>QCE, VET, SAT</a:t>
            </a:r>
          </a:p>
        </c:rich>
      </c:tx>
      <c:overlay val="0"/>
      <c:spPr>
        <a:noFill/>
        <a:ln>
          <a:noFill/>
        </a:ln>
        <a:effectLst/>
      </c:spPr>
    </c:title>
    <c:autoTitleDeleted val="0"/>
    <c:plotArea>
      <c:layout/>
      <c:barChart>
        <c:barDir val="col"/>
        <c:grouping val="clustered"/>
        <c:varyColors val="0"/>
        <c:ser>
          <c:idx val="0"/>
          <c:order val="0"/>
          <c:tx>
            <c:strRef>
              <c:f>'Snr Data'!$A$11</c:f>
              <c:strCache>
                <c:ptCount val="1"/>
                <c:pt idx="0">
                  <c:v>% QCE, VET, SAT</c:v>
                </c:pt>
              </c:strCache>
            </c:strRef>
          </c:tx>
          <c:spPr>
            <a:solidFill>
              <a:schemeClr val="accent1"/>
            </a:solidFill>
            <a:ln>
              <a:noFill/>
            </a:ln>
            <a:effectLst/>
          </c:spPr>
          <c:invertIfNegative val="0"/>
          <c:cat>
            <c:numRef>
              <c:f>'Snr Data'!$B$10:$F$10</c:f>
              <c:numCache>
                <c:formatCode>General</c:formatCode>
                <c:ptCount val="5"/>
                <c:pt idx="0">
                  <c:v>2011</c:v>
                </c:pt>
                <c:pt idx="1">
                  <c:v>2012</c:v>
                </c:pt>
                <c:pt idx="2">
                  <c:v>2013</c:v>
                </c:pt>
                <c:pt idx="3">
                  <c:v>2014</c:v>
                </c:pt>
                <c:pt idx="4">
                  <c:v>2015</c:v>
                </c:pt>
              </c:numCache>
            </c:numRef>
          </c:cat>
          <c:val>
            <c:numRef>
              <c:f>'Snr Data'!$B$11:$F$11</c:f>
              <c:numCache>
                <c:formatCode>General</c:formatCode>
                <c:ptCount val="5"/>
                <c:pt idx="0">
                  <c:v>95.3</c:v>
                </c:pt>
                <c:pt idx="1">
                  <c:v>95.7</c:v>
                </c:pt>
                <c:pt idx="2">
                  <c:v>99</c:v>
                </c:pt>
                <c:pt idx="3">
                  <c:v>99.4</c:v>
                </c:pt>
                <c:pt idx="4">
                  <c:v>100</c:v>
                </c:pt>
              </c:numCache>
            </c:numRef>
          </c:val>
        </c:ser>
        <c:dLbls>
          <c:showLegendKey val="0"/>
          <c:showVal val="0"/>
          <c:showCatName val="0"/>
          <c:showSerName val="0"/>
          <c:showPercent val="0"/>
          <c:showBubbleSize val="0"/>
        </c:dLbls>
        <c:gapWidth val="219"/>
        <c:overlap val="-27"/>
        <c:axId val="84596992"/>
        <c:axId val="59834368"/>
      </c:barChart>
      <c:catAx>
        <c:axId val="8459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9834368"/>
        <c:crosses val="autoZero"/>
        <c:auto val="1"/>
        <c:lblAlgn val="ctr"/>
        <c:lblOffset val="100"/>
        <c:noMultiLvlLbl val="0"/>
      </c:catAx>
      <c:valAx>
        <c:axId val="59834368"/>
        <c:scaling>
          <c:orientation val="minMax"/>
          <c:max val="100"/>
          <c:min val="9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84596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400" b="1" dirty="0" smtClean="0"/>
              <a:t>Percentage of students receiving a QCE</a:t>
            </a:r>
            <a:endParaRPr lang="en-US" sz="1400" b="1" dirty="0"/>
          </a:p>
        </c:rich>
      </c:tx>
      <c:overlay val="0"/>
      <c:spPr>
        <a:noFill/>
        <a:ln>
          <a:noFill/>
        </a:ln>
        <a:effectLst/>
      </c:spPr>
    </c:title>
    <c:autoTitleDeleted val="0"/>
    <c:plotArea>
      <c:layout/>
      <c:barChart>
        <c:barDir val="col"/>
        <c:grouping val="clustered"/>
        <c:varyColors val="0"/>
        <c:ser>
          <c:idx val="0"/>
          <c:order val="0"/>
          <c:tx>
            <c:strRef>
              <c:f>'Snr Data'!$A$7</c:f>
              <c:strCache>
                <c:ptCount val="1"/>
                <c:pt idx="0">
                  <c:v>% QCE</c:v>
                </c:pt>
              </c:strCache>
            </c:strRef>
          </c:tx>
          <c:spPr>
            <a:solidFill>
              <a:schemeClr val="accent1"/>
            </a:solidFill>
            <a:ln>
              <a:noFill/>
            </a:ln>
            <a:effectLst/>
          </c:spPr>
          <c:invertIfNegative val="0"/>
          <c:cat>
            <c:numRef>
              <c:f>'Snr Data'!$B$6:$F$6</c:f>
              <c:numCache>
                <c:formatCode>General</c:formatCode>
                <c:ptCount val="5"/>
                <c:pt idx="0">
                  <c:v>2011</c:v>
                </c:pt>
                <c:pt idx="1">
                  <c:v>2012</c:v>
                </c:pt>
                <c:pt idx="2">
                  <c:v>2013</c:v>
                </c:pt>
                <c:pt idx="3">
                  <c:v>2014</c:v>
                </c:pt>
                <c:pt idx="4">
                  <c:v>2015</c:v>
                </c:pt>
              </c:numCache>
            </c:numRef>
          </c:cat>
          <c:val>
            <c:numRef>
              <c:f>'Snr Data'!$B$7:$F$7</c:f>
              <c:numCache>
                <c:formatCode>General</c:formatCode>
                <c:ptCount val="5"/>
                <c:pt idx="0">
                  <c:v>77.3</c:v>
                </c:pt>
                <c:pt idx="1">
                  <c:v>83.1</c:v>
                </c:pt>
                <c:pt idx="2">
                  <c:v>80.3</c:v>
                </c:pt>
                <c:pt idx="3">
                  <c:v>95.5</c:v>
                </c:pt>
                <c:pt idx="4">
                  <c:v>98</c:v>
                </c:pt>
              </c:numCache>
            </c:numRef>
          </c:val>
        </c:ser>
        <c:dLbls>
          <c:showLegendKey val="0"/>
          <c:showVal val="0"/>
          <c:showCatName val="0"/>
          <c:showSerName val="0"/>
          <c:showPercent val="0"/>
          <c:showBubbleSize val="0"/>
        </c:dLbls>
        <c:gapWidth val="219"/>
        <c:overlap val="-27"/>
        <c:axId val="59854208"/>
        <c:axId val="59884672"/>
      </c:barChart>
      <c:catAx>
        <c:axId val="59854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9884672"/>
        <c:crosses val="autoZero"/>
        <c:auto val="1"/>
        <c:lblAlgn val="ctr"/>
        <c:lblOffset val="100"/>
        <c:noMultiLvlLbl val="0"/>
      </c:catAx>
      <c:valAx>
        <c:axId val="59884672"/>
        <c:scaling>
          <c:orientation val="minMax"/>
          <c:max val="100"/>
          <c:min val="6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9854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AU" b="1"/>
              <a:t>Student Enrolments</a:t>
            </a:r>
          </a:p>
        </c:rich>
      </c:tx>
      <c:overlay val="0"/>
      <c:spPr>
        <a:noFill/>
        <a:ln>
          <a:noFill/>
        </a:ln>
        <a:effectLst/>
      </c:spPr>
    </c:title>
    <c:autoTitleDeleted val="0"/>
    <c:plotArea>
      <c:layout/>
      <c:barChart>
        <c:barDir val="col"/>
        <c:grouping val="clustered"/>
        <c:varyColors val="0"/>
        <c:ser>
          <c:idx val="0"/>
          <c:order val="0"/>
          <c:tx>
            <c:strRef>
              <c:f>Sheet1!$A$3</c:f>
              <c:strCache>
                <c:ptCount val="1"/>
                <c:pt idx="0">
                  <c:v>Enrolments</c:v>
                </c:pt>
              </c:strCache>
            </c:strRef>
          </c:tx>
          <c:spPr>
            <a:solidFill>
              <a:schemeClr val="accent1"/>
            </a:solidFill>
            <a:ln>
              <a:noFill/>
            </a:ln>
            <a:effectLst/>
          </c:spPr>
          <c:invertIfNegative val="0"/>
          <c:cat>
            <c:numRef>
              <c:f>Sheet1!$B$2:$G$2</c:f>
              <c:numCache>
                <c:formatCode>General</c:formatCode>
                <c:ptCount val="6"/>
                <c:pt idx="0">
                  <c:v>2011</c:v>
                </c:pt>
                <c:pt idx="1">
                  <c:v>2012</c:v>
                </c:pt>
                <c:pt idx="2">
                  <c:v>2013</c:v>
                </c:pt>
                <c:pt idx="3">
                  <c:v>2014</c:v>
                </c:pt>
                <c:pt idx="4">
                  <c:v>2015</c:v>
                </c:pt>
                <c:pt idx="5">
                  <c:v>2016</c:v>
                </c:pt>
              </c:numCache>
            </c:numRef>
          </c:cat>
          <c:val>
            <c:numRef>
              <c:f>Sheet1!$B$3:$G$3</c:f>
              <c:numCache>
                <c:formatCode>General</c:formatCode>
                <c:ptCount val="6"/>
                <c:pt idx="0">
                  <c:v>2017</c:v>
                </c:pt>
                <c:pt idx="1">
                  <c:v>2074</c:v>
                </c:pt>
                <c:pt idx="2">
                  <c:v>2094</c:v>
                </c:pt>
                <c:pt idx="3">
                  <c:v>2164</c:v>
                </c:pt>
                <c:pt idx="4">
                  <c:v>2503</c:v>
                </c:pt>
                <c:pt idx="5">
                  <c:v>2609</c:v>
                </c:pt>
              </c:numCache>
            </c:numRef>
          </c:val>
        </c:ser>
        <c:dLbls>
          <c:showLegendKey val="0"/>
          <c:showVal val="0"/>
          <c:showCatName val="0"/>
          <c:showSerName val="0"/>
          <c:showPercent val="0"/>
          <c:showBubbleSize val="0"/>
        </c:dLbls>
        <c:gapWidth val="219"/>
        <c:overlap val="-27"/>
        <c:axId val="74236672"/>
        <c:axId val="74238208"/>
      </c:barChart>
      <c:catAx>
        <c:axId val="7423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74238208"/>
        <c:crosses val="autoZero"/>
        <c:auto val="1"/>
        <c:lblAlgn val="ctr"/>
        <c:lblOffset val="100"/>
        <c:noMultiLvlLbl val="0"/>
      </c:catAx>
      <c:valAx>
        <c:axId val="74238208"/>
        <c:scaling>
          <c:orientation val="minMax"/>
          <c:min val="18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74236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1A4B9-C738-4008-8D2A-B21B9FA3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FORSYTH, Michael</dc:creator>
  <cp:lastModifiedBy>DICKMAN, Janelle</cp:lastModifiedBy>
  <cp:revision>7</cp:revision>
  <dcterms:created xsi:type="dcterms:W3CDTF">2016-08-08T03:47:00Z</dcterms:created>
  <dcterms:modified xsi:type="dcterms:W3CDTF">2016-08-31T23:53:00Z</dcterms:modified>
</cp:coreProperties>
</file>