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EB Garamond" w:cs="EB Garamond" w:eastAsia="EB Garamond" w:hAnsi="EB Garamond"/>
          <w:b w:val="1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8"/>
          <w:szCs w:val="48"/>
          <w:rtl w:val="0"/>
        </w:rPr>
        <w:t xml:space="preserve">Spradling Elementary School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EB Garamond" w:cs="EB Garamond" w:eastAsia="EB Garamond" w:hAnsi="EB Garamond"/>
          <w:b w:val="1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48"/>
          <w:szCs w:val="48"/>
          <w:rtl w:val="0"/>
        </w:rPr>
        <w:t xml:space="preserve">Mission &amp; Vision</w:t>
      </w:r>
    </w:p>
    <w:p w:rsidR="00000000" w:rsidDel="00000000" w:rsidP="00000000" w:rsidRDefault="00000000" w:rsidRPr="00000000" w14:paraId="00000003">
      <w:pPr>
        <w:spacing w:after="160" w:line="259" w:lineRule="auto"/>
        <w:jc w:val="left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line="259" w:lineRule="auto"/>
        <w:jc w:val="left"/>
        <w:rPr>
          <w:rFonts w:ascii="EB Garamond" w:cs="EB Garamond" w:eastAsia="EB Garamond" w:hAnsi="EB Garamond"/>
          <w:sz w:val="48"/>
          <w:szCs w:val="48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u w:val="single"/>
          <w:rtl w:val="0"/>
        </w:rPr>
        <w:t xml:space="preserve">Mission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line="259" w:lineRule="auto"/>
        <w:jc w:val="left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Every child, every day, whatever it takes to achieve a better future.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EB Garamond" w:cs="EB Garamond" w:eastAsia="EB Garamond" w:hAnsi="EB Garamond"/>
          <w:sz w:val="48"/>
          <w:szCs w:val="48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u w:val="single"/>
          <w:rtl w:val="0"/>
        </w:rPr>
        <w:t xml:space="preserve">Vision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We envision a school in which staff and students: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Celebrate adversity not as an obstacle but an opportunity to grow.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Learn at high levels.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Focus on the well-being of the whole person: academically, socially, and emotionally.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Participate in collaborative teams.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rFonts w:ascii="EB Garamond" w:cs="EB Garamond" w:eastAsia="EB Garamond" w:hAnsi="EB Garamond"/>
          <w:sz w:val="48"/>
          <w:szCs w:val="48"/>
        </w:rPr>
      </w:pPr>
      <w:r w:rsidDel="00000000" w:rsidR="00000000" w:rsidRPr="00000000">
        <w:rPr>
          <w:rFonts w:ascii="EB Garamond" w:cs="EB Garamond" w:eastAsia="EB Garamond" w:hAnsi="EB Garamond"/>
          <w:sz w:val="48"/>
          <w:szCs w:val="48"/>
          <w:rtl w:val="0"/>
        </w:rPr>
        <w:t xml:space="preserve">Work independently and cooperatively to achieve SMART goals.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