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79B5" w14:textId="77777777" w:rsidR="00C137CD" w:rsidRDefault="00C137CD"/>
    <w:p w14:paraId="390AF2F1" w14:textId="77777777" w:rsidR="00C137CD" w:rsidRDefault="00C137CD"/>
    <w:p w14:paraId="7416C763" w14:textId="77777777" w:rsidR="00C137CD" w:rsidRDefault="00000000">
      <w:pPr>
        <w:widowControl w:val="0"/>
        <w:spacing w:after="0" w:line="240" w:lineRule="auto"/>
        <w:ind w:left="164"/>
        <w:rPr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383B3A"/>
          <w:sz w:val="32"/>
          <w:szCs w:val="32"/>
        </w:rPr>
        <w:t xml:space="preserve">Essential Functions of a </w:t>
      </w:r>
      <w:proofErr w:type="gramStart"/>
      <w:r>
        <w:rPr>
          <w:b/>
          <w:color w:val="383B3A"/>
          <w:sz w:val="32"/>
          <w:szCs w:val="32"/>
        </w:rPr>
        <w:t>PLC  Leader</w:t>
      </w:r>
      <w:proofErr w:type="gramEnd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759AA21" wp14:editId="45E09A91">
                <wp:simplePos x="0" y="0"/>
                <wp:positionH relativeFrom="column">
                  <wp:posOffset>5180330</wp:posOffset>
                </wp:positionH>
                <wp:positionV relativeFrom="paragraph">
                  <wp:posOffset>-840738</wp:posOffset>
                </wp:positionV>
                <wp:extent cx="1282700" cy="1143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679C7" w14:textId="77777777" w:rsidR="005F7E66" w:rsidRDefault="00000000" w:rsidP="005F7E66">
                            <w:pPr>
                              <w:spacing w:line="1800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0837BC" wp14:editId="154EFF31">
                                  <wp:extent cx="1285875" cy="11430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A9D9D" w14:textId="77777777" w:rsidR="005F7E66" w:rsidRDefault="00000000" w:rsidP="005F7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5180330</wp:posOffset>
                </wp:positionH>
                <wp:positionV relativeFrom="paragraph">
                  <wp:posOffset>-840738</wp:posOffset>
                </wp:positionV>
                <wp:extent cx="1282700" cy="1143000"/>
                <wp:effectExtent b="0" l="0" r="0" t="0"/>
                <wp:wrapNone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EC17E1" w14:textId="77777777" w:rsidR="00C137CD" w:rsidRDefault="00C137CD">
      <w:pPr>
        <w:widowControl w:val="0"/>
        <w:spacing w:before="2" w:after="0" w:line="240" w:lineRule="auto"/>
        <w:rPr>
          <w:b/>
          <w:sz w:val="21"/>
          <w:szCs w:val="21"/>
        </w:rPr>
      </w:pPr>
    </w:p>
    <w:p w14:paraId="045CD069" w14:textId="77777777" w:rsidR="00C137CD" w:rsidRDefault="00000000">
      <w:pPr>
        <w:widowControl w:val="0"/>
        <w:spacing w:before="74" w:after="0" w:line="279" w:lineRule="auto"/>
        <w:ind w:left="150" w:right="1037"/>
        <w:rPr>
          <w:color w:val="000000"/>
        </w:rPr>
      </w:pPr>
      <w:r>
        <w:rPr>
          <w:color w:val="383B3A"/>
        </w:rPr>
        <w:t xml:space="preserve">SUMMARY: </w:t>
      </w:r>
      <w:r>
        <w:rPr>
          <w:color w:val="232623"/>
        </w:rPr>
        <w:t xml:space="preserve">The </w:t>
      </w:r>
      <w:r>
        <w:rPr>
          <w:color w:val="383B3A"/>
        </w:rPr>
        <w:t xml:space="preserve">Core Team Member for each team, also </w:t>
      </w:r>
      <w:r>
        <w:rPr>
          <w:color w:val="232623"/>
        </w:rPr>
        <w:t xml:space="preserve">referred </w:t>
      </w:r>
      <w:r>
        <w:rPr>
          <w:color w:val="383B3A"/>
        </w:rPr>
        <w:t xml:space="preserve">to as the PLC </w:t>
      </w:r>
      <w:r>
        <w:rPr>
          <w:color w:val="232623"/>
        </w:rPr>
        <w:t xml:space="preserve">Leader, </w:t>
      </w:r>
      <w:r>
        <w:rPr>
          <w:color w:val="383B3A"/>
        </w:rPr>
        <w:t xml:space="preserve">will </w:t>
      </w:r>
      <w:proofErr w:type="gramStart"/>
      <w:r>
        <w:rPr>
          <w:color w:val="383B3A"/>
        </w:rPr>
        <w:t>be in charge of</w:t>
      </w:r>
      <w:proofErr w:type="gramEnd"/>
      <w:r>
        <w:rPr>
          <w:color w:val="383B3A"/>
        </w:rPr>
        <w:t xml:space="preserve"> facilitating the PLC Collaboration times</w:t>
      </w:r>
      <w:r>
        <w:rPr>
          <w:color w:val="565B57"/>
        </w:rPr>
        <w:t xml:space="preserve">. </w:t>
      </w:r>
      <w:r>
        <w:rPr>
          <w:color w:val="383B3A"/>
        </w:rPr>
        <w:t xml:space="preserve">The function of the PLC Team Leader </w:t>
      </w:r>
      <w:r>
        <w:rPr>
          <w:color w:val="232623"/>
        </w:rPr>
        <w:t xml:space="preserve">is </w:t>
      </w:r>
      <w:r>
        <w:rPr>
          <w:color w:val="383B3A"/>
        </w:rPr>
        <w:t xml:space="preserve">to keep the team focused on the </w:t>
      </w:r>
      <w:r>
        <w:rPr>
          <w:color w:val="565B57"/>
        </w:rPr>
        <w:t>"</w:t>
      </w:r>
      <w:r>
        <w:rPr>
          <w:color w:val="383B3A"/>
        </w:rPr>
        <w:t>Right Work</w:t>
      </w:r>
      <w:r>
        <w:rPr>
          <w:color w:val="565B57"/>
        </w:rPr>
        <w:t xml:space="preserve">" </w:t>
      </w:r>
      <w:r>
        <w:rPr>
          <w:color w:val="383B3A"/>
        </w:rPr>
        <w:t xml:space="preserve">that will </w:t>
      </w:r>
      <w:r>
        <w:rPr>
          <w:color w:val="232623"/>
        </w:rPr>
        <w:t xml:space="preserve">have </w:t>
      </w:r>
      <w:r>
        <w:rPr>
          <w:color w:val="383B3A"/>
        </w:rPr>
        <w:t xml:space="preserve">the greatest impact on student achievement. </w:t>
      </w:r>
      <w:r>
        <w:rPr>
          <w:color w:val="232623"/>
        </w:rPr>
        <w:t xml:space="preserve">The </w:t>
      </w:r>
      <w:r>
        <w:rPr>
          <w:color w:val="383B3A"/>
        </w:rPr>
        <w:t xml:space="preserve">role will </w:t>
      </w:r>
      <w:r>
        <w:rPr>
          <w:color w:val="232623"/>
        </w:rPr>
        <w:t xml:space="preserve">include </w:t>
      </w:r>
      <w:r>
        <w:rPr>
          <w:color w:val="383B3A"/>
        </w:rPr>
        <w:t xml:space="preserve">working with adult learners, facilitating conversations and ensuring a </w:t>
      </w:r>
      <w:r>
        <w:rPr>
          <w:color w:val="232623"/>
        </w:rPr>
        <w:t xml:space="preserve">healthy </w:t>
      </w:r>
      <w:r>
        <w:rPr>
          <w:color w:val="383B3A"/>
        </w:rPr>
        <w:t>team environment.</w:t>
      </w:r>
    </w:p>
    <w:p w14:paraId="77B3EC10" w14:textId="77777777" w:rsidR="00C137CD" w:rsidRDefault="00C137CD">
      <w:pPr>
        <w:widowControl w:val="0"/>
        <w:spacing w:before="2" w:after="0" w:line="240" w:lineRule="auto"/>
      </w:pPr>
    </w:p>
    <w:p w14:paraId="4C740A30" w14:textId="77777777" w:rsidR="00C137CD" w:rsidRDefault="00000000">
      <w:pPr>
        <w:widowControl w:val="0"/>
        <w:spacing w:after="0" w:line="284" w:lineRule="auto"/>
        <w:ind w:left="150" w:right="1037" w:firstLine="6"/>
        <w:rPr>
          <w:color w:val="000000"/>
        </w:rPr>
      </w:pPr>
      <w:r>
        <w:rPr>
          <w:color w:val="383B3A"/>
        </w:rPr>
        <w:t xml:space="preserve">ESSENTIAL FUNCTIONS AND GENERAL RESPONSIBILITIES: The functions listed below are representative of the knowledge, </w:t>
      </w:r>
      <w:r>
        <w:rPr>
          <w:color w:val="565B57"/>
        </w:rPr>
        <w:t>s</w:t>
      </w:r>
      <w:r>
        <w:rPr>
          <w:color w:val="383B3A"/>
        </w:rPr>
        <w:t>kill and/or ability needed for this position.</w:t>
      </w:r>
    </w:p>
    <w:p w14:paraId="1AB7AE54" w14:textId="77777777" w:rsidR="00C137CD" w:rsidRDefault="00C137CD"/>
    <w:p w14:paraId="13A78CA8" w14:textId="77777777" w:rsidR="00C137CD" w:rsidRDefault="00C137CD"/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2098"/>
        <w:gridCol w:w="3117"/>
      </w:tblGrid>
      <w:tr w:rsidR="00C137CD" w14:paraId="3F812C6D" w14:textId="77777777">
        <w:tc>
          <w:tcPr>
            <w:tcW w:w="4135" w:type="dxa"/>
          </w:tcPr>
          <w:p w14:paraId="1DCBCF17" w14:textId="77777777" w:rsidR="00C137CD" w:rsidRDefault="00000000">
            <w:r>
              <w:t>Essential Functions</w:t>
            </w:r>
          </w:p>
        </w:tc>
        <w:tc>
          <w:tcPr>
            <w:tcW w:w="2098" w:type="dxa"/>
          </w:tcPr>
          <w:p w14:paraId="2ED478D4" w14:textId="77777777" w:rsidR="00C137CD" w:rsidRDefault="00000000">
            <w:r>
              <w:t>Frequency</w:t>
            </w:r>
          </w:p>
        </w:tc>
        <w:tc>
          <w:tcPr>
            <w:tcW w:w="3117" w:type="dxa"/>
          </w:tcPr>
          <w:p w14:paraId="282C1DD5" w14:textId="77777777" w:rsidR="00C137CD" w:rsidRDefault="00000000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C137CD" w14:paraId="750246FF" w14:textId="77777777">
        <w:tc>
          <w:tcPr>
            <w:tcW w:w="4135" w:type="dxa"/>
          </w:tcPr>
          <w:p w14:paraId="59922657" w14:textId="77777777" w:rsidR="00C137CD" w:rsidRDefault="00000000"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Support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mission and vision of Stewart </w:t>
            </w:r>
            <w:proofErr w:type="gramStart"/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kinder  -</w:t>
            </w:r>
            <w:proofErr w:type="gramEnd"/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 6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56D5C227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6186373F" w14:textId="77777777" w:rsidR="00C137CD" w:rsidRDefault="00000000">
            <w:r>
              <w:t>Ongoing</w:t>
            </w:r>
          </w:p>
        </w:tc>
      </w:tr>
      <w:tr w:rsidR="00C137CD" w14:paraId="7474A895" w14:textId="77777777">
        <w:tc>
          <w:tcPr>
            <w:tcW w:w="4135" w:type="dxa"/>
          </w:tcPr>
          <w:p w14:paraId="736AA00A" w14:textId="77777777" w:rsidR="00C137CD" w:rsidRDefault="00000000"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Create positive relationships with teachers and administrators, foster a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team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culture of open sharing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risk taking and shared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leadership,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guide teams in how to work effectively as a team.</w:t>
            </w:r>
          </w:p>
        </w:tc>
        <w:tc>
          <w:tcPr>
            <w:tcW w:w="2098" w:type="dxa"/>
          </w:tcPr>
          <w:p w14:paraId="5C8AA621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4E141BA0" w14:textId="77777777" w:rsidR="00C137CD" w:rsidRDefault="00000000">
            <w:r>
              <w:t>Ongoing</w:t>
            </w:r>
          </w:p>
        </w:tc>
      </w:tr>
      <w:tr w:rsidR="00C137CD" w14:paraId="02E43DEB" w14:textId="77777777">
        <w:tc>
          <w:tcPr>
            <w:tcW w:w="4135" w:type="dxa"/>
          </w:tcPr>
          <w:p w14:paraId="3A7445B4" w14:textId="77777777" w:rsidR="00C137CD" w:rsidRDefault="00000000"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Ensure development of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SMART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goals action plan, and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19A2E1AF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18B8C181" w14:textId="77777777" w:rsidR="00C137CD" w:rsidRDefault="00000000">
            <w:r>
              <w:t>20%</w:t>
            </w:r>
          </w:p>
        </w:tc>
      </w:tr>
      <w:tr w:rsidR="00C137CD" w14:paraId="4782D90A" w14:textId="77777777">
        <w:tc>
          <w:tcPr>
            <w:tcW w:w="4135" w:type="dxa"/>
          </w:tcPr>
          <w:p w14:paraId="092821DD" w14:textId="77777777" w:rsidR="00C137CD" w:rsidRDefault="00000000"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ure team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norms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and protocols are developed and team effectiveness is periodically evaluated.</w:t>
            </w:r>
          </w:p>
        </w:tc>
        <w:tc>
          <w:tcPr>
            <w:tcW w:w="2098" w:type="dxa"/>
          </w:tcPr>
          <w:p w14:paraId="63A7C552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3649C7CD" w14:textId="77777777" w:rsidR="00C137CD" w:rsidRDefault="00000000">
            <w:r>
              <w:t>5%</w:t>
            </w:r>
          </w:p>
        </w:tc>
      </w:tr>
      <w:tr w:rsidR="00C137CD" w14:paraId="01664FFC" w14:textId="77777777">
        <w:tc>
          <w:tcPr>
            <w:tcW w:w="4135" w:type="dxa"/>
          </w:tcPr>
          <w:p w14:paraId="01CD3F1C" w14:textId="77777777" w:rsidR="00C137CD" w:rsidRDefault="00000000"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Facilitate the identification, clarity and/or implementation of essential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learnings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of courses/units.</w:t>
            </w:r>
          </w:p>
        </w:tc>
        <w:tc>
          <w:tcPr>
            <w:tcW w:w="2098" w:type="dxa"/>
          </w:tcPr>
          <w:p w14:paraId="39FACCEB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6594329B" w14:textId="77777777" w:rsidR="00C137CD" w:rsidRDefault="00000000">
            <w:r>
              <w:t>10%</w:t>
            </w:r>
          </w:p>
        </w:tc>
      </w:tr>
      <w:tr w:rsidR="00C137CD" w14:paraId="7ACE5BC1" w14:textId="77777777">
        <w:tc>
          <w:tcPr>
            <w:tcW w:w="4135" w:type="dxa"/>
          </w:tcPr>
          <w:p w14:paraId="4D172AB2" w14:textId="77777777" w:rsidR="00C137CD" w:rsidRDefault="00000000"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Facilitate conversations about planning and pacing to help students achieve the intended essential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>learnings.</w:t>
            </w:r>
          </w:p>
        </w:tc>
        <w:tc>
          <w:tcPr>
            <w:tcW w:w="2098" w:type="dxa"/>
          </w:tcPr>
          <w:p w14:paraId="0CCDD8B1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4FFEBE10" w14:textId="77777777" w:rsidR="00C137CD" w:rsidRDefault="00000000">
            <w:r>
              <w:t>15%</w:t>
            </w:r>
          </w:p>
        </w:tc>
      </w:tr>
      <w:tr w:rsidR="00C137CD" w14:paraId="22BFF4C9" w14:textId="77777777">
        <w:tc>
          <w:tcPr>
            <w:tcW w:w="4135" w:type="dxa"/>
          </w:tcPr>
          <w:p w14:paraId="59A2E330" w14:textId="77777777" w:rsidR="00C137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Faci</w:t>
            </w:r>
            <w:r>
              <w:rPr>
                <w:rFonts w:ascii="Arial" w:eastAsia="Arial" w:hAnsi="Arial" w:cs="Arial"/>
                <w:color w:val="0F110F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tate the 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ollection and analysis of student achievement data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58F28DD0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6C375B8C" w14:textId="77777777" w:rsidR="00C137CD" w:rsidRDefault="00000000">
            <w:r>
              <w:t>25%</w:t>
            </w:r>
          </w:p>
        </w:tc>
      </w:tr>
      <w:tr w:rsidR="00C137CD" w14:paraId="3606592B" w14:textId="77777777">
        <w:tc>
          <w:tcPr>
            <w:tcW w:w="4135" w:type="dxa"/>
          </w:tcPr>
          <w:p w14:paraId="391E7E4A" w14:textId="77777777" w:rsidR="00C137CD" w:rsidRDefault="00000000">
            <w:pPr>
              <w:widowControl w:val="0"/>
              <w:spacing w:before="13" w:line="280" w:lineRule="auto"/>
              <w:ind w:right="3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Facilitate the development and/or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implementation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of frequent common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formative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assessments;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 xml:space="preserve">and targeted </w:t>
            </w:r>
            <w:r>
              <w:rPr>
                <w:rFonts w:ascii="Arial" w:eastAsia="Arial" w:hAnsi="Arial" w:cs="Arial"/>
                <w:color w:val="232623"/>
                <w:sz w:val="20"/>
                <w:szCs w:val="20"/>
              </w:rPr>
              <w:t xml:space="preserve">interventions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based on the re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ults.</w:t>
            </w:r>
          </w:p>
        </w:tc>
        <w:tc>
          <w:tcPr>
            <w:tcW w:w="2098" w:type="dxa"/>
          </w:tcPr>
          <w:p w14:paraId="61DFAA5B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5C975E37" w14:textId="77777777" w:rsidR="00C137CD" w:rsidRDefault="00000000">
            <w:r>
              <w:t>20%</w:t>
            </w:r>
          </w:p>
        </w:tc>
      </w:tr>
      <w:tr w:rsidR="00C137CD" w14:paraId="04DF56D5" w14:textId="77777777">
        <w:tc>
          <w:tcPr>
            <w:tcW w:w="4135" w:type="dxa"/>
          </w:tcPr>
          <w:p w14:paraId="2C97A3C2" w14:textId="77777777" w:rsidR="00C137CD" w:rsidRDefault="00000000"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Ensure the PLC team provide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support for mentor teachers and beginning teacher</w:t>
            </w:r>
            <w:r>
              <w:rPr>
                <w:rFonts w:ascii="Arial" w:eastAsia="Arial" w:hAnsi="Arial" w:cs="Arial"/>
                <w:color w:val="565B5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383B3A"/>
                <w:sz w:val="20"/>
                <w:szCs w:val="20"/>
              </w:rPr>
              <w:t>that are part of PLC.</w:t>
            </w:r>
          </w:p>
        </w:tc>
        <w:tc>
          <w:tcPr>
            <w:tcW w:w="2098" w:type="dxa"/>
          </w:tcPr>
          <w:p w14:paraId="50721AD9" w14:textId="77777777" w:rsidR="00C137CD" w:rsidRDefault="00000000">
            <w:r>
              <w:t>Daily</w:t>
            </w:r>
          </w:p>
        </w:tc>
        <w:tc>
          <w:tcPr>
            <w:tcW w:w="3117" w:type="dxa"/>
          </w:tcPr>
          <w:p w14:paraId="447CDAB6" w14:textId="77777777" w:rsidR="00C137CD" w:rsidRDefault="00000000">
            <w:r>
              <w:t>5%</w:t>
            </w:r>
          </w:p>
        </w:tc>
      </w:tr>
    </w:tbl>
    <w:p w14:paraId="0712CD46" w14:textId="77777777" w:rsidR="00C137CD" w:rsidRDefault="00C137CD"/>
    <w:sectPr w:rsidR="00C137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CD"/>
    <w:rsid w:val="001A54DD"/>
    <w:rsid w:val="00C1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98733"/>
  <w15:docId w15:val="{33CE7665-8851-CB40-A273-8BBD62E6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F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7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A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XqX+gAanGUNuQGTNK4By8Byog==">AMUW2mXhF9chLwa50hSxS+8qJWDcEXWf4lqqz+0aeMi5aDGBBlxRhnlnEnf32crk/JQ2uJUgDNxdqOAs3zWGx0E4j74VLNTvhjFrhaBLX2dWONBMZ97FxRY3EnnunaLJLFr7FYMii0FD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L. English</dc:creator>
  <cp:lastModifiedBy>Microsoft Office User</cp:lastModifiedBy>
  <cp:revision>2</cp:revision>
  <dcterms:created xsi:type="dcterms:W3CDTF">2022-12-20T15:26:00Z</dcterms:created>
  <dcterms:modified xsi:type="dcterms:W3CDTF">2022-12-20T15:26:00Z</dcterms:modified>
</cp:coreProperties>
</file>