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106" w:rsidRPr="00DC6111" w:rsidRDefault="00A94106" w:rsidP="00A94106">
      <w:pPr>
        <w:pStyle w:val="PlainText"/>
        <w:rPr>
          <w:rFonts w:asciiTheme="minorHAnsi" w:hAnsiTheme="minorHAnsi"/>
          <w:b/>
          <w:szCs w:val="22"/>
        </w:rPr>
      </w:pPr>
      <w:r>
        <w:rPr>
          <w:b/>
          <w:sz w:val="36"/>
          <w:szCs w:val="36"/>
        </w:rPr>
        <w:t xml:space="preserve">Activity: </w:t>
      </w:r>
      <w:r w:rsidRPr="00F41EAD">
        <w:rPr>
          <w:b/>
          <w:sz w:val="36"/>
          <w:szCs w:val="36"/>
        </w:rPr>
        <w:t>Critical Issues</w:t>
      </w:r>
      <w:r>
        <w:rPr>
          <w:b/>
          <w:sz w:val="36"/>
          <w:szCs w:val="36"/>
        </w:rPr>
        <w:t xml:space="preserve"> Checklist – How did we go?</w:t>
      </w:r>
    </w:p>
    <w:tbl>
      <w:tblPr>
        <w:tblW w:w="921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9"/>
        <w:gridCol w:w="4536"/>
      </w:tblGrid>
      <w:tr w:rsidR="000A5694" w:rsidRPr="00DC6111" w:rsidTr="000A5694">
        <w:tc>
          <w:tcPr>
            <w:tcW w:w="4679" w:type="dxa"/>
            <w:shd w:val="clear" w:color="auto" w:fill="auto"/>
          </w:tcPr>
          <w:p w:rsidR="000A5694" w:rsidRPr="00DC6111" w:rsidRDefault="000A5694" w:rsidP="00B41664">
            <w:pPr>
              <w:widowControl w:val="0"/>
              <w:autoSpaceDE w:val="0"/>
              <w:autoSpaceDN w:val="0"/>
              <w:adjustRightInd w:val="0"/>
              <w:spacing w:before="100" w:beforeAutospacing="1" w:after="100" w:afterAutospacing="1"/>
              <w:rPr>
                <w:rFonts w:cstheme="minorHAnsi"/>
              </w:rPr>
            </w:pPr>
            <w:r w:rsidRPr="00DC6111">
              <w:rPr>
                <w:rFonts w:cstheme="minorHAnsi"/>
              </w:rPr>
              <w:t>Things we need to address</w:t>
            </w:r>
          </w:p>
        </w:tc>
        <w:tc>
          <w:tcPr>
            <w:tcW w:w="4536" w:type="dxa"/>
            <w:shd w:val="clear" w:color="auto" w:fill="auto"/>
          </w:tcPr>
          <w:p w:rsidR="000A5694" w:rsidRPr="00DC6111" w:rsidRDefault="000A5694" w:rsidP="00B41664">
            <w:pPr>
              <w:widowControl w:val="0"/>
              <w:autoSpaceDE w:val="0"/>
              <w:autoSpaceDN w:val="0"/>
              <w:adjustRightInd w:val="0"/>
              <w:spacing w:before="100" w:beforeAutospacing="1" w:after="100" w:afterAutospacing="1"/>
              <w:rPr>
                <w:rFonts w:cstheme="minorHAnsi"/>
              </w:rPr>
            </w:pPr>
            <w:bookmarkStart w:id="0" w:name="_GoBack"/>
            <w:bookmarkEnd w:id="0"/>
            <w:r w:rsidRPr="00DC6111">
              <w:rPr>
                <w:rFonts w:cstheme="minorHAnsi"/>
              </w:rPr>
              <w:t>PLT Actions</w:t>
            </w:r>
          </w:p>
        </w:tc>
      </w:tr>
      <w:tr w:rsidR="000A5694" w:rsidRPr="00DC6111" w:rsidTr="000A5694">
        <w:tc>
          <w:tcPr>
            <w:tcW w:w="4679" w:type="dxa"/>
            <w:shd w:val="clear" w:color="auto" w:fill="auto"/>
          </w:tcPr>
          <w:p w:rsidR="000A5694" w:rsidRPr="00DC6111" w:rsidRDefault="000A5694" w:rsidP="00B41664">
            <w:pPr>
              <w:widowControl w:val="0"/>
              <w:autoSpaceDE w:val="0"/>
              <w:autoSpaceDN w:val="0"/>
              <w:adjustRightInd w:val="0"/>
              <w:spacing w:before="100" w:beforeAutospacing="1" w:after="100" w:afterAutospacing="1"/>
              <w:rPr>
                <w:rFonts w:cstheme="minorHAnsi"/>
              </w:rPr>
            </w:pPr>
            <w:r w:rsidRPr="00DC6111">
              <w:rPr>
                <w:rFonts w:cstheme="minorHAnsi"/>
              </w:rPr>
              <w:t>1. We have identified team norms and protocols to guide us in working together.</w:t>
            </w:r>
          </w:p>
        </w:tc>
        <w:tc>
          <w:tcPr>
            <w:tcW w:w="4536" w:type="dxa"/>
            <w:shd w:val="clear" w:color="auto" w:fill="auto"/>
          </w:tcPr>
          <w:p w:rsidR="000A5694" w:rsidRPr="00DC6111" w:rsidRDefault="000A5694" w:rsidP="00B41664">
            <w:pPr>
              <w:widowControl w:val="0"/>
              <w:autoSpaceDE w:val="0"/>
              <w:autoSpaceDN w:val="0"/>
              <w:adjustRightInd w:val="0"/>
              <w:spacing w:before="100" w:beforeAutospacing="1" w:after="100" w:afterAutospacing="1"/>
              <w:rPr>
                <w:rFonts w:cstheme="minorHAnsi"/>
              </w:rPr>
            </w:pPr>
            <w:r w:rsidRPr="00DC6111">
              <w:rPr>
                <w:rFonts w:cstheme="minorHAnsi"/>
              </w:rPr>
              <w:t>Use the approved school norms to develop/introduce PLT norms</w:t>
            </w:r>
          </w:p>
        </w:tc>
      </w:tr>
      <w:tr w:rsidR="000A5694" w:rsidRPr="00DC6111" w:rsidTr="000A5694">
        <w:tc>
          <w:tcPr>
            <w:tcW w:w="4679" w:type="dxa"/>
            <w:shd w:val="clear" w:color="auto" w:fill="auto"/>
          </w:tcPr>
          <w:p w:rsidR="000A5694" w:rsidRPr="00DC6111" w:rsidRDefault="000A5694" w:rsidP="00B41664">
            <w:pPr>
              <w:widowControl w:val="0"/>
              <w:autoSpaceDE w:val="0"/>
              <w:autoSpaceDN w:val="0"/>
              <w:adjustRightInd w:val="0"/>
              <w:spacing w:before="100" w:beforeAutospacing="1" w:after="100" w:afterAutospacing="1"/>
              <w:rPr>
                <w:rFonts w:cstheme="minorHAnsi"/>
              </w:rPr>
            </w:pPr>
            <w:r w:rsidRPr="00DC6111">
              <w:rPr>
                <w:rFonts w:cstheme="minorHAnsi"/>
              </w:rPr>
              <w:t>2. We have analysed student achievement data.</w:t>
            </w:r>
          </w:p>
        </w:tc>
        <w:tc>
          <w:tcPr>
            <w:tcW w:w="4536" w:type="dxa"/>
            <w:shd w:val="clear" w:color="auto" w:fill="auto"/>
          </w:tcPr>
          <w:p w:rsidR="000A5694" w:rsidRPr="00DC6111" w:rsidRDefault="000A5694" w:rsidP="00B41664">
            <w:pPr>
              <w:widowControl w:val="0"/>
              <w:autoSpaceDE w:val="0"/>
              <w:autoSpaceDN w:val="0"/>
              <w:adjustRightInd w:val="0"/>
              <w:spacing w:before="100" w:beforeAutospacing="1" w:after="100" w:afterAutospacing="1"/>
              <w:rPr>
                <w:rFonts w:cstheme="minorHAnsi"/>
              </w:rPr>
            </w:pPr>
          </w:p>
        </w:tc>
      </w:tr>
      <w:tr w:rsidR="000A5694" w:rsidRPr="00DC6111" w:rsidTr="000A5694">
        <w:tc>
          <w:tcPr>
            <w:tcW w:w="4679" w:type="dxa"/>
            <w:shd w:val="clear" w:color="auto" w:fill="auto"/>
          </w:tcPr>
          <w:p w:rsidR="000A5694" w:rsidRPr="00DC6111" w:rsidRDefault="000A5694" w:rsidP="00B41664">
            <w:pPr>
              <w:widowControl w:val="0"/>
              <w:autoSpaceDE w:val="0"/>
              <w:autoSpaceDN w:val="0"/>
              <w:adjustRightInd w:val="0"/>
              <w:spacing w:before="100" w:beforeAutospacing="1" w:after="100" w:afterAutospacing="1"/>
              <w:rPr>
                <w:rFonts w:cstheme="minorHAnsi"/>
              </w:rPr>
            </w:pPr>
            <w:r w:rsidRPr="00DC6111">
              <w:rPr>
                <w:rFonts w:cstheme="minorHAnsi"/>
              </w:rPr>
              <w:t>3. Each member of our team is clear on the essential knowledge of our course in general as well as the essential knowledge of each unit.</w:t>
            </w:r>
          </w:p>
        </w:tc>
        <w:tc>
          <w:tcPr>
            <w:tcW w:w="4536" w:type="dxa"/>
            <w:shd w:val="clear" w:color="auto" w:fill="auto"/>
          </w:tcPr>
          <w:p w:rsidR="000A5694" w:rsidRPr="00DC6111" w:rsidRDefault="000A5694" w:rsidP="00B41664">
            <w:pPr>
              <w:widowControl w:val="0"/>
              <w:autoSpaceDE w:val="0"/>
              <w:autoSpaceDN w:val="0"/>
              <w:adjustRightInd w:val="0"/>
              <w:spacing w:before="100" w:beforeAutospacing="1" w:after="100" w:afterAutospacing="1"/>
              <w:rPr>
                <w:rFonts w:cstheme="minorHAnsi"/>
              </w:rPr>
            </w:pPr>
          </w:p>
        </w:tc>
      </w:tr>
      <w:tr w:rsidR="000A5694" w:rsidRPr="00DC6111" w:rsidTr="000A5694">
        <w:tc>
          <w:tcPr>
            <w:tcW w:w="4679" w:type="dxa"/>
            <w:shd w:val="clear" w:color="auto" w:fill="auto"/>
          </w:tcPr>
          <w:p w:rsidR="000A5694" w:rsidRPr="00DC6111" w:rsidRDefault="000A5694" w:rsidP="00B41664">
            <w:pPr>
              <w:widowControl w:val="0"/>
              <w:autoSpaceDE w:val="0"/>
              <w:autoSpaceDN w:val="0"/>
              <w:adjustRightInd w:val="0"/>
              <w:spacing w:before="100" w:beforeAutospacing="1" w:after="100" w:afterAutospacing="1"/>
              <w:rPr>
                <w:rFonts w:cstheme="minorHAnsi"/>
              </w:rPr>
            </w:pPr>
            <w:r w:rsidRPr="00DC6111">
              <w:rPr>
                <w:rFonts w:cstheme="minorHAnsi"/>
              </w:rPr>
              <w:t>4. We have aligned the essential knowledge with the assessment required of our students.</w:t>
            </w:r>
          </w:p>
        </w:tc>
        <w:tc>
          <w:tcPr>
            <w:tcW w:w="4536" w:type="dxa"/>
            <w:shd w:val="clear" w:color="auto" w:fill="auto"/>
          </w:tcPr>
          <w:p w:rsidR="000A5694" w:rsidRPr="00DC6111" w:rsidRDefault="000A5694" w:rsidP="00B41664">
            <w:pPr>
              <w:widowControl w:val="0"/>
              <w:autoSpaceDE w:val="0"/>
              <w:autoSpaceDN w:val="0"/>
              <w:adjustRightInd w:val="0"/>
              <w:spacing w:before="100" w:beforeAutospacing="1" w:after="100" w:afterAutospacing="1"/>
              <w:rPr>
                <w:rFonts w:cstheme="minorHAnsi"/>
              </w:rPr>
            </w:pPr>
          </w:p>
        </w:tc>
      </w:tr>
      <w:tr w:rsidR="000A5694" w:rsidRPr="00DC6111" w:rsidTr="000A5694">
        <w:tc>
          <w:tcPr>
            <w:tcW w:w="4679" w:type="dxa"/>
            <w:shd w:val="clear" w:color="auto" w:fill="auto"/>
          </w:tcPr>
          <w:p w:rsidR="000A5694" w:rsidRPr="00DC6111" w:rsidRDefault="000A5694" w:rsidP="00B41664">
            <w:pPr>
              <w:widowControl w:val="0"/>
              <w:autoSpaceDE w:val="0"/>
              <w:autoSpaceDN w:val="0"/>
              <w:adjustRightInd w:val="0"/>
              <w:spacing w:before="100" w:beforeAutospacing="1" w:after="100" w:afterAutospacing="1"/>
              <w:rPr>
                <w:rFonts w:cstheme="minorHAnsi"/>
              </w:rPr>
            </w:pPr>
            <w:r w:rsidRPr="00DC6111">
              <w:rPr>
                <w:rFonts w:cstheme="minorHAnsi"/>
              </w:rPr>
              <w:t>5. We have identified course content and/or topics that can be eliminated so we can devote more time to essential curriculum.</w:t>
            </w:r>
          </w:p>
        </w:tc>
        <w:tc>
          <w:tcPr>
            <w:tcW w:w="4536" w:type="dxa"/>
            <w:shd w:val="clear" w:color="auto" w:fill="auto"/>
          </w:tcPr>
          <w:p w:rsidR="000A5694" w:rsidRPr="00DC6111" w:rsidRDefault="000A5694" w:rsidP="00B41664">
            <w:pPr>
              <w:widowControl w:val="0"/>
              <w:autoSpaceDE w:val="0"/>
              <w:autoSpaceDN w:val="0"/>
              <w:adjustRightInd w:val="0"/>
              <w:spacing w:before="100" w:beforeAutospacing="1" w:after="100" w:afterAutospacing="1"/>
              <w:rPr>
                <w:rFonts w:cstheme="minorHAnsi"/>
              </w:rPr>
            </w:pPr>
          </w:p>
        </w:tc>
      </w:tr>
      <w:tr w:rsidR="000A5694" w:rsidRPr="00DC6111" w:rsidTr="000A5694">
        <w:tc>
          <w:tcPr>
            <w:tcW w:w="4679" w:type="dxa"/>
            <w:shd w:val="clear" w:color="auto" w:fill="auto"/>
          </w:tcPr>
          <w:p w:rsidR="000A5694" w:rsidRPr="00DC6111" w:rsidRDefault="000A5694" w:rsidP="00B41664">
            <w:pPr>
              <w:widowControl w:val="0"/>
              <w:autoSpaceDE w:val="0"/>
              <w:autoSpaceDN w:val="0"/>
              <w:adjustRightInd w:val="0"/>
              <w:spacing w:before="100" w:beforeAutospacing="1" w:after="100" w:afterAutospacing="1"/>
              <w:rPr>
                <w:rFonts w:cstheme="minorHAnsi"/>
              </w:rPr>
            </w:pPr>
            <w:r w:rsidRPr="00DC6111">
              <w:rPr>
                <w:rFonts w:cstheme="minorHAnsi"/>
              </w:rPr>
              <w:t>6. We have agreed on how to best sequence the content of the course and have established proficiency scales to help students achieve the intended essential knowledge.</w:t>
            </w:r>
          </w:p>
        </w:tc>
        <w:tc>
          <w:tcPr>
            <w:tcW w:w="4536" w:type="dxa"/>
            <w:shd w:val="clear" w:color="auto" w:fill="auto"/>
          </w:tcPr>
          <w:p w:rsidR="000A5694" w:rsidRPr="00DC6111" w:rsidRDefault="000A5694" w:rsidP="00B41664">
            <w:pPr>
              <w:widowControl w:val="0"/>
              <w:autoSpaceDE w:val="0"/>
              <w:autoSpaceDN w:val="0"/>
              <w:adjustRightInd w:val="0"/>
              <w:spacing w:before="100" w:beforeAutospacing="1" w:after="100" w:afterAutospacing="1"/>
              <w:rPr>
                <w:rFonts w:cstheme="minorHAnsi"/>
              </w:rPr>
            </w:pPr>
          </w:p>
        </w:tc>
      </w:tr>
      <w:tr w:rsidR="000A5694" w:rsidRPr="00DC6111" w:rsidTr="000A5694">
        <w:tc>
          <w:tcPr>
            <w:tcW w:w="4679" w:type="dxa"/>
            <w:shd w:val="clear" w:color="auto" w:fill="auto"/>
          </w:tcPr>
          <w:p w:rsidR="000A5694" w:rsidRPr="00DC6111" w:rsidRDefault="000A5694" w:rsidP="00B41664">
            <w:pPr>
              <w:widowControl w:val="0"/>
              <w:autoSpaceDE w:val="0"/>
              <w:autoSpaceDN w:val="0"/>
              <w:adjustRightInd w:val="0"/>
              <w:spacing w:before="100" w:beforeAutospacing="1" w:after="100" w:afterAutospacing="1"/>
              <w:rPr>
                <w:rFonts w:cstheme="minorHAnsi"/>
              </w:rPr>
            </w:pPr>
            <w:r w:rsidRPr="00DC6111">
              <w:rPr>
                <w:rFonts w:cstheme="minorHAnsi"/>
              </w:rPr>
              <w:t>7. We have identified the prerequisite knowledge and skills students need in order to master the essential knowledge of our course and each unit of this course.</w:t>
            </w:r>
          </w:p>
        </w:tc>
        <w:tc>
          <w:tcPr>
            <w:tcW w:w="4536" w:type="dxa"/>
            <w:shd w:val="clear" w:color="auto" w:fill="auto"/>
          </w:tcPr>
          <w:p w:rsidR="000A5694" w:rsidRPr="00DC6111" w:rsidRDefault="000A5694" w:rsidP="00B41664">
            <w:pPr>
              <w:widowControl w:val="0"/>
              <w:autoSpaceDE w:val="0"/>
              <w:autoSpaceDN w:val="0"/>
              <w:adjustRightInd w:val="0"/>
              <w:spacing w:before="100" w:beforeAutospacing="1" w:after="100" w:afterAutospacing="1"/>
              <w:rPr>
                <w:rFonts w:cstheme="minorHAnsi"/>
              </w:rPr>
            </w:pPr>
          </w:p>
        </w:tc>
      </w:tr>
      <w:tr w:rsidR="000A5694" w:rsidRPr="00DC6111" w:rsidTr="000A5694">
        <w:tc>
          <w:tcPr>
            <w:tcW w:w="4679" w:type="dxa"/>
            <w:shd w:val="clear" w:color="auto" w:fill="auto"/>
          </w:tcPr>
          <w:p w:rsidR="000A5694" w:rsidRPr="00DC6111" w:rsidRDefault="000A5694" w:rsidP="00B41664">
            <w:pPr>
              <w:widowControl w:val="0"/>
              <w:autoSpaceDE w:val="0"/>
              <w:autoSpaceDN w:val="0"/>
              <w:adjustRightInd w:val="0"/>
              <w:spacing w:before="100" w:beforeAutospacing="1" w:after="100" w:afterAutospacing="1"/>
              <w:rPr>
                <w:rFonts w:cstheme="minorHAnsi"/>
              </w:rPr>
            </w:pPr>
            <w:r w:rsidRPr="00DC6111">
              <w:rPr>
                <w:rFonts w:cstheme="minorHAnsi"/>
              </w:rPr>
              <w:t>8. We have identified strategies and created instruments to assess whether students have the prerequisite knowledge and skills.</w:t>
            </w:r>
          </w:p>
        </w:tc>
        <w:tc>
          <w:tcPr>
            <w:tcW w:w="4536" w:type="dxa"/>
            <w:shd w:val="clear" w:color="auto" w:fill="auto"/>
          </w:tcPr>
          <w:p w:rsidR="000A5694" w:rsidRPr="00DC6111" w:rsidRDefault="000A5694" w:rsidP="00B41664">
            <w:pPr>
              <w:widowControl w:val="0"/>
              <w:autoSpaceDE w:val="0"/>
              <w:autoSpaceDN w:val="0"/>
              <w:adjustRightInd w:val="0"/>
              <w:spacing w:before="100" w:beforeAutospacing="1" w:after="100" w:afterAutospacing="1"/>
              <w:rPr>
                <w:rFonts w:cstheme="minorHAnsi"/>
              </w:rPr>
            </w:pPr>
          </w:p>
        </w:tc>
      </w:tr>
      <w:tr w:rsidR="000A5694" w:rsidRPr="00DC6111" w:rsidTr="000A5694">
        <w:tc>
          <w:tcPr>
            <w:tcW w:w="4679" w:type="dxa"/>
            <w:shd w:val="clear" w:color="auto" w:fill="auto"/>
          </w:tcPr>
          <w:p w:rsidR="000A5694" w:rsidRPr="00DC6111" w:rsidRDefault="000A5694" w:rsidP="00B41664">
            <w:pPr>
              <w:widowControl w:val="0"/>
              <w:autoSpaceDE w:val="0"/>
              <w:autoSpaceDN w:val="0"/>
              <w:adjustRightInd w:val="0"/>
              <w:spacing w:before="100" w:beforeAutospacing="1" w:after="100" w:afterAutospacing="1"/>
              <w:rPr>
                <w:rFonts w:cstheme="minorHAnsi"/>
              </w:rPr>
            </w:pPr>
            <w:r w:rsidRPr="00DC6111">
              <w:rPr>
                <w:rFonts w:cstheme="minorHAnsi"/>
              </w:rPr>
              <w:t>9. We have developed strategies and systems to assist students in acquiring prerequisite knowledge and skills when they are lacking in those areas.</w:t>
            </w:r>
          </w:p>
        </w:tc>
        <w:tc>
          <w:tcPr>
            <w:tcW w:w="4536" w:type="dxa"/>
            <w:shd w:val="clear" w:color="auto" w:fill="auto"/>
          </w:tcPr>
          <w:p w:rsidR="000A5694" w:rsidRPr="00DC6111" w:rsidRDefault="000A5694" w:rsidP="00B41664">
            <w:pPr>
              <w:widowControl w:val="0"/>
              <w:autoSpaceDE w:val="0"/>
              <w:autoSpaceDN w:val="0"/>
              <w:adjustRightInd w:val="0"/>
              <w:spacing w:before="100" w:beforeAutospacing="1" w:after="100" w:afterAutospacing="1"/>
              <w:rPr>
                <w:rFonts w:cstheme="minorHAnsi"/>
              </w:rPr>
            </w:pPr>
          </w:p>
        </w:tc>
      </w:tr>
      <w:tr w:rsidR="000A5694" w:rsidRPr="00DC6111" w:rsidTr="000A5694">
        <w:tc>
          <w:tcPr>
            <w:tcW w:w="4679" w:type="dxa"/>
            <w:shd w:val="clear" w:color="auto" w:fill="auto"/>
          </w:tcPr>
          <w:p w:rsidR="000A5694" w:rsidRPr="00DC6111" w:rsidRDefault="000A5694" w:rsidP="00B41664">
            <w:pPr>
              <w:widowControl w:val="0"/>
              <w:autoSpaceDE w:val="0"/>
              <w:autoSpaceDN w:val="0"/>
              <w:adjustRightInd w:val="0"/>
              <w:spacing w:before="100" w:beforeAutospacing="1" w:after="100" w:afterAutospacing="1"/>
              <w:rPr>
                <w:rFonts w:cstheme="minorHAnsi"/>
              </w:rPr>
            </w:pPr>
            <w:r w:rsidRPr="00DC6111">
              <w:rPr>
                <w:rFonts w:cstheme="minorHAnsi"/>
              </w:rPr>
              <w:t>10. We have developed frequent common formative assessments that help us to determine each student’s mastery of essential knowledge.</w:t>
            </w:r>
          </w:p>
        </w:tc>
        <w:tc>
          <w:tcPr>
            <w:tcW w:w="4536" w:type="dxa"/>
            <w:shd w:val="clear" w:color="auto" w:fill="auto"/>
          </w:tcPr>
          <w:p w:rsidR="000A5694" w:rsidRPr="00DC6111" w:rsidRDefault="000A5694" w:rsidP="00B41664">
            <w:pPr>
              <w:widowControl w:val="0"/>
              <w:autoSpaceDE w:val="0"/>
              <w:autoSpaceDN w:val="0"/>
              <w:adjustRightInd w:val="0"/>
              <w:spacing w:before="100" w:beforeAutospacing="1" w:after="100" w:afterAutospacing="1"/>
              <w:rPr>
                <w:rFonts w:cstheme="minorHAnsi"/>
              </w:rPr>
            </w:pPr>
          </w:p>
        </w:tc>
      </w:tr>
      <w:tr w:rsidR="000A5694" w:rsidRPr="00DC6111" w:rsidTr="000A5694">
        <w:tc>
          <w:tcPr>
            <w:tcW w:w="4679" w:type="dxa"/>
            <w:shd w:val="clear" w:color="auto" w:fill="auto"/>
          </w:tcPr>
          <w:p w:rsidR="000A5694" w:rsidRPr="00DC6111" w:rsidRDefault="000A5694" w:rsidP="00B41664">
            <w:pPr>
              <w:widowControl w:val="0"/>
              <w:autoSpaceDE w:val="0"/>
              <w:autoSpaceDN w:val="0"/>
              <w:adjustRightInd w:val="0"/>
              <w:spacing w:before="100" w:beforeAutospacing="1" w:after="100" w:afterAutospacing="1"/>
              <w:rPr>
                <w:rFonts w:cstheme="minorHAnsi"/>
              </w:rPr>
            </w:pPr>
            <w:r w:rsidRPr="00DC6111">
              <w:rPr>
                <w:rFonts w:cstheme="minorHAnsi"/>
              </w:rPr>
              <w:t>11. We have established the proficiency standard we want each student to achieve on each skill and concept examined with our common assessments.</w:t>
            </w:r>
          </w:p>
        </w:tc>
        <w:tc>
          <w:tcPr>
            <w:tcW w:w="4536" w:type="dxa"/>
            <w:shd w:val="clear" w:color="auto" w:fill="auto"/>
          </w:tcPr>
          <w:p w:rsidR="000A5694" w:rsidRPr="00DC6111" w:rsidRDefault="000A5694" w:rsidP="00B41664">
            <w:pPr>
              <w:widowControl w:val="0"/>
              <w:autoSpaceDE w:val="0"/>
              <w:autoSpaceDN w:val="0"/>
              <w:adjustRightInd w:val="0"/>
              <w:spacing w:before="100" w:beforeAutospacing="1" w:after="100" w:afterAutospacing="1"/>
              <w:rPr>
                <w:rFonts w:cstheme="minorHAnsi"/>
              </w:rPr>
            </w:pPr>
          </w:p>
        </w:tc>
      </w:tr>
      <w:tr w:rsidR="000A5694" w:rsidRPr="00DC6111" w:rsidTr="000A5694">
        <w:tc>
          <w:tcPr>
            <w:tcW w:w="4679" w:type="dxa"/>
            <w:shd w:val="clear" w:color="auto" w:fill="auto"/>
          </w:tcPr>
          <w:p w:rsidR="000A5694" w:rsidRPr="00DC6111" w:rsidRDefault="000A5694" w:rsidP="00B41664">
            <w:pPr>
              <w:widowControl w:val="0"/>
              <w:autoSpaceDE w:val="0"/>
              <w:autoSpaceDN w:val="0"/>
              <w:adjustRightInd w:val="0"/>
              <w:spacing w:before="100" w:beforeAutospacing="1" w:after="100" w:afterAutospacing="1"/>
              <w:rPr>
                <w:rFonts w:cstheme="minorHAnsi"/>
              </w:rPr>
            </w:pPr>
            <w:r w:rsidRPr="00DC6111">
              <w:rPr>
                <w:rFonts w:cstheme="minorHAnsi"/>
              </w:rPr>
              <w:t>12. We have developed common summative assessments that help us assess the strengths and weaknesses of our program.</w:t>
            </w:r>
          </w:p>
        </w:tc>
        <w:tc>
          <w:tcPr>
            <w:tcW w:w="4536" w:type="dxa"/>
            <w:shd w:val="clear" w:color="auto" w:fill="auto"/>
          </w:tcPr>
          <w:p w:rsidR="000A5694" w:rsidRPr="00DC6111" w:rsidRDefault="000A5694" w:rsidP="00B41664">
            <w:pPr>
              <w:widowControl w:val="0"/>
              <w:autoSpaceDE w:val="0"/>
              <w:autoSpaceDN w:val="0"/>
              <w:adjustRightInd w:val="0"/>
              <w:spacing w:before="100" w:beforeAutospacing="1" w:after="100" w:afterAutospacing="1"/>
              <w:rPr>
                <w:rFonts w:cstheme="minorHAnsi"/>
              </w:rPr>
            </w:pPr>
          </w:p>
        </w:tc>
      </w:tr>
      <w:tr w:rsidR="000A5694" w:rsidRPr="00DC6111" w:rsidTr="000A5694">
        <w:tc>
          <w:tcPr>
            <w:tcW w:w="4679" w:type="dxa"/>
            <w:shd w:val="clear" w:color="auto" w:fill="auto"/>
          </w:tcPr>
          <w:p w:rsidR="000A5694" w:rsidRPr="00DC6111" w:rsidRDefault="000A5694" w:rsidP="00B41664">
            <w:pPr>
              <w:widowControl w:val="0"/>
              <w:autoSpaceDE w:val="0"/>
              <w:autoSpaceDN w:val="0"/>
              <w:adjustRightInd w:val="0"/>
              <w:spacing w:before="100" w:beforeAutospacing="1" w:after="100" w:afterAutospacing="1"/>
              <w:rPr>
                <w:rFonts w:cstheme="minorHAnsi"/>
              </w:rPr>
            </w:pPr>
            <w:r w:rsidRPr="00DC6111">
              <w:rPr>
                <w:rFonts w:cstheme="minorHAnsi"/>
              </w:rPr>
              <w:t>13. We have established the proficiency standard we want each student to achieve on each skill and concept examined with our summative assessments.</w:t>
            </w:r>
          </w:p>
        </w:tc>
        <w:tc>
          <w:tcPr>
            <w:tcW w:w="4536" w:type="dxa"/>
            <w:shd w:val="clear" w:color="auto" w:fill="auto"/>
          </w:tcPr>
          <w:p w:rsidR="000A5694" w:rsidRPr="00DC6111" w:rsidRDefault="000A5694" w:rsidP="00B41664">
            <w:pPr>
              <w:widowControl w:val="0"/>
              <w:autoSpaceDE w:val="0"/>
              <w:autoSpaceDN w:val="0"/>
              <w:adjustRightInd w:val="0"/>
              <w:spacing w:before="100" w:beforeAutospacing="1" w:after="100" w:afterAutospacing="1"/>
              <w:rPr>
                <w:rFonts w:cstheme="minorHAnsi"/>
              </w:rPr>
            </w:pPr>
          </w:p>
        </w:tc>
      </w:tr>
      <w:tr w:rsidR="000A5694" w:rsidRPr="00DC6111" w:rsidTr="000A5694">
        <w:tc>
          <w:tcPr>
            <w:tcW w:w="4679" w:type="dxa"/>
            <w:shd w:val="clear" w:color="auto" w:fill="auto"/>
          </w:tcPr>
          <w:p w:rsidR="000A5694" w:rsidRPr="00DC6111" w:rsidRDefault="000A5694" w:rsidP="00B41664">
            <w:pPr>
              <w:widowControl w:val="0"/>
              <w:autoSpaceDE w:val="0"/>
              <w:autoSpaceDN w:val="0"/>
              <w:adjustRightInd w:val="0"/>
              <w:spacing w:before="100" w:beforeAutospacing="1" w:after="100" w:afterAutospacing="1"/>
              <w:rPr>
                <w:rFonts w:cstheme="minorHAnsi"/>
              </w:rPr>
            </w:pPr>
            <w:r w:rsidRPr="00DC6111">
              <w:rPr>
                <w:rFonts w:cstheme="minorHAnsi"/>
              </w:rPr>
              <w:t>14. We have agreed on the criteria we will use in judging the quality of student work related to the essential knowledge of our course, and we practice applying those criteria to ensure consistency.</w:t>
            </w:r>
          </w:p>
        </w:tc>
        <w:tc>
          <w:tcPr>
            <w:tcW w:w="4536" w:type="dxa"/>
            <w:shd w:val="clear" w:color="auto" w:fill="auto"/>
          </w:tcPr>
          <w:p w:rsidR="000A5694" w:rsidRPr="00DC6111" w:rsidRDefault="000A5694" w:rsidP="00B41664">
            <w:pPr>
              <w:widowControl w:val="0"/>
              <w:autoSpaceDE w:val="0"/>
              <w:autoSpaceDN w:val="0"/>
              <w:adjustRightInd w:val="0"/>
              <w:spacing w:before="100" w:beforeAutospacing="1" w:after="100" w:afterAutospacing="1"/>
              <w:rPr>
                <w:rFonts w:cstheme="minorHAnsi"/>
              </w:rPr>
            </w:pPr>
          </w:p>
        </w:tc>
      </w:tr>
      <w:tr w:rsidR="000A5694" w:rsidRPr="00DC6111" w:rsidTr="000A5694">
        <w:tc>
          <w:tcPr>
            <w:tcW w:w="4679" w:type="dxa"/>
            <w:shd w:val="clear" w:color="auto" w:fill="auto"/>
          </w:tcPr>
          <w:p w:rsidR="000A5694" w:rsidRPr="00DC6111" w:rsidRDefault="000A5694" w:rsidP="00B41664">
            <w:pPr>
              <w:widowControl w:val="0"/>
              <w:autoSpaceDE w:val="0"/>
              <w:autoSpaceDN w:val="0"/>
              <w:adjustRightInd w:val="0"/>
              <w:spacing w:before="100" w:beforeAutospacing="1" w:after="100" w:afterAutospacing="1"/>
              <w:rPr>
                <w:rFonts w:cstheme="minorHAnsi"/>
              </w:rPr>
            </w:pPr>
            <w:r w:rsidRPr="00DC6111">
              <w:rPr>
                <w:rFonts w:cstheme="minorHAnsi"/>
              </w:rPr>
              <w:t>15. We have taught students the criteria we will use in judging the quality of their work and have provided them with examples.</w:t>
            </w:r>
          </w:p>
        </w:tc>
        <w:tc>
          <w:tcPr>
            <w:tcW w:w="4536" w:type="dxa"/>
            <w:shd w:val="clear" w:color="auto" w:fill="auto"/>
          </w:tcPr>
          <w:p w:rsidR="000A5694" w:rsidRPr="00DC6111" w:rsidRDefault="000A5694" w:rsidP="00B41664">
            <w:pPr>
              <w:widowControl w:val="0"/>
              <w:autoSpaceDE w:val="0"/>
              <w:autoSpaceDN w:val="0"/>
              <w:adjustRightInd w:val="0"/>
              <w:spacing w:before="100" w:beforeAutospacing="1" w:after="100" w:afterAutospacing="1"/>
              <w:rPr>
                <w:rFonts w:cstheme="minorHAnsi"/>
              </w:rPr>
            </w:pPr>
          </w:p>
        </w:tc>
      </w:tr>
      <w:tr w:rsidR="000A5694" w:rsidRPr="00DC6111" w:rsidTr="000A5694">
        <w:tc>
          <w:tcPr>
            <w:tcW w:w="4679" w:type="dxa"/>
            <w:shd w:val="clear" w:color="auto" w:fill="auto"/>
          </w:tcPr>
          <w:p w:rsidR="000A5694" w:rsidRPr="00DC6111" w:rsidRDefault="000A5694" w:rsidP="00B41664">
            <w:pPr>
              <w:widowControl w:val="0"/>
              <w:autoSpaceDE w:val="0"/>
              <w:autoSpaceDN w:val="0"/>
              <w:adjustRightInd w:val="0"/>
              <w:spacing w:before="100" w:beforeAutospacing="1" w:after="100" w:afterAutospacing="1"/>
              <w:rPr>
                <w:rFonts w:cstheme="minorHAnsi"/>
              </w:rPr>
            </w:pPr>
            <w:r w:rsidRPr="00DC6111">
              <w:rPr>
                <w:rFonts w:cstheme="minorHAnsi"/>
              </w:rPr>
              <w:t>16. We evaluate our adherence to and the effectiveness of our team norms at least twice each year.</w:t>
            </w:r>
          </w:p>
        </w:tc>
        <w:tc>
          <w:tcPr>
            <w:tcW w:w="4536" w:type="dxa"/>
            <w:shd w:val="clear" w:color="auto" w:fill="auto"/>
          </w:tcPr>
          <w:p w:rsidR="000A5694" w:rsidRPr="00DC6111" w:rsidRDefault="000A5694" w:rsidP="00B41664">
            <w:pPr>
              <w:widowControl w:val="0"/>
              <w:autoSpaceDE w:val="0"/>
              <w:autoSpaceDN w:val="0"/>
              <w:adjustRightInd w:val="0"/>
              <w:spacing w:before="100" w:beforeAutospacing="1" w:after="100" w:afterAutospacing="1"/>
              <w:rPr>
                <w:rFonts w:cstheme="minorHAnsi"/>
              </w:rPr>
            </w:pPr>
          </w:p>
        </w:tc>
      </w:tr>
      <w:tr w:rsidR="000A5694" w:rsidRPr="00DC6111" w:rsidTr="000A5694">
        <w:tc>
          <w:tcPr>
            <w:tcW w:w="4679" w:type="dxa"/>
            <w:shd w:val="clear" w:color="auto" w:fill="auto"/>
          </w:tcPr>
          <w:p w:rsidR="000A5694" w:rsidRPr="00DC6111" w:rsidRDefault="000A5694" w:rsidP="00B41664">
            <w:pPr>
              <w:widowControl w:val="0"/>
              <w:autoSpaceDE w:val="0"/>
              <w:autoSpaceDN w:val="0"/>
              <w:adjustRightInd w:val="0"/>
              <w:spacing w:before="100" w:beforeAutospacing="1" w:after="100" w:afterAutospacing="1"/>
              <w:rPr>
                <w:rFonts w:cstheme="minorHAnsi"/>
              </w:rPr>
            </w:pPr>
            <w:r w:rsidRPr="00DC6111">
              <w:rPr>
                <w:rFonts w:cstheme="minorHAnsi"/>
              </w:rPr>
              <w:t>17. We use the results of our common assessments to assist each other in building on strengths and addressing weaknesses as part of a process of continuous improvement designed to help students achieve at higher levels.</w:t>
            </w:r>
          </w:p>
        </w:tc>
        <w:tc>
          <w:tcPr>
            <w:tcW w:w="4536" w:type="dxa"/>
            <w:shd w:val="clear" w:color="auto" w:fill="auto"/>
          </w:tcPr>
          <w:p w:rsidR="000A5694" w:rsidRPr="00DC6111" w:rsidRDefault="000A5694" w:rsidP="00B41664">
            <w:pPr>
              <w:widowControl w:val="0"/>
              <w:autoSpaceDE w:val="0"/>
              <w:autoSpaceDN w:val="0"/>
              <w:adjustRightInd w:val="0"/>
              <w:spacing w:before="100" w:beforeAutospacing="1" w:after="100" w:afterAutospacing="1"/>
              <w:rPr>
                <w:rFonts w:cstheme="minorHAnsi"/>
              </w:rPr>
            </w:pPr>
          </w:p>
        </w:tc>
      </w:tr>
      <w:tr w:rsidR="000A5694" w:rsidRPr="00DC6111" w:rsidTr="000A5694">
        <w:tc>
          <w:tcPr>
            <w:tcW w:w="4679" w:type="dxa"/>
            <w:shd w:val="clear" w:color="auto" w:fill="auto"/>
          </w:tcPr>
          <w:p w:rsidR="000A5694" w:rsidRPr="00DC6111" w:rsidRDefault="000A5694" w:rsidP="00B41664">
            <w:pPr>
              <w:widowControl w:val="0"/>
              <w:autoSpaceDE w:val="0"/>
              <w:autoSpaceDN w:val="0"/>
              <w:adjustRightInd w:val="0"/>
              <w:spacing w:before="100" w:beforeAutospacing="1" w:after="100" w:afterAutospacing="1"/>
              <w:rPr>
                <w:rFonts w:cstheme="minorHAnsi"/>
              </w:rPr>
            </w:pPr>
            <w:r w:rsidRPr="00DC6111">
              <w:rPr>
                <w:rFonts w:cstheme="minorHAnsi"/>
              </w:rPr>
              <w:t>18. We use the results of our common assessments to identify students who need additional time and support to master essential knowledge, and we work within the systems and processes of the school to ensure they receive that support.</w:t>
            </w:r>
          </w:p>
        </w:tc>
        <w:tc>
          <w:tcPr>
            <w:tcW w:w="4536" w:type="dxa"/>
            <w:shd w:val="clear" w:color="auto" w:fill="auto"/>
          </w:tcPr>
          <w:p w:rsidR="000A5694" w:rsidRPr="00DC6111" w:rsidRDefault="000A5694" w:rsidP="00B41664">
            <w:pPr>
              <w:widowControl w:val="0"/>
              <w:autoSpaceDE w:val="0"/>
              <w:autoSpaceDN w:val="0"/>
              <w:adjustRightInd w:val="0"/>
              <w:spacing w:before="100" w:beforeAutospacing="1" w:after="100" w:afterAutospacing="1"/>
              <w:rPr>
                <w:rFonts w:cstheme="minorHAnsi"/>
              </w:rPr>
            </w:pPr>
          </w:p>
        </w:tc>
      </w:tr>
    </w:tbl>
    <w:p w:rsidR="00A94106" w:rsidRPr="00F41EAD" w:rsidRDefault="00A94106" w:rsidP="00A94106">
      <w:pPr>
        <w:rPr>
          <w:rFonts w:ascii="Calibri" w:hAnsi="Calibri"/>
        </w:rPr>
      </w:pPr>
      <w:r w:rsidRPr="00F41EAD">
        <w:rPr>
          <w:rFonts w:ascii="Calibri" w:hAnsi="Calibri"/>
        </w:rPr>
        <w:br w:type="page"/>
      </w:r>
    </w:p>
    <w:p w:rsidR="00F716FB" w:rsidRDefault="000A5694"/>
    <w:sectPr w:rsidR="00F716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106"/>
    <w:rsid w:val="00045ECE"/>
    <w:rsid w:val="000A5694"/>
    <w:rsid w:val="007212B2"/>
    <w:rsid w:val="00A9410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9410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94106"/>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1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A9410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A94106"/>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MCKINLAY, Shona</dc:creator>
  <cp:lastModifiedBy>MCKINLAY, Shona</cp:lastModifiedBy>
  <cp:revision>2</cp:revision>
  <dcterms:created xsi:type="dcterms:W3CDTF">2016-09-14T21:35:00Z</dcterms:created>
  <dcterms:modified xsi:type="dcterms:W3CDTF">2016-09-14T21:53:00Z</dcterms:modified>
</cp:coreProperties>
</file>