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52F1" w14:textId="77777777" w:rsidR="00CD50BF" w:rsidRPr="004A1A7F" w:rsidRDefault="00CD50BF" w:rsidP="00CD50BF">
      <w:pPr>
        <w:pStyle w:val="Heading1"/>
        <w:rPr>
          <w:b w:val="0"/>
          <w:color w:val="auto"/>
        </w:rPr>
      </w:pPr>
      <w:bookmarkStart w:id="0" w:name="_GoBack"/>
      <w:r w:rsidRPr="004A1A7F">
        <w:rPr>
          <w:b w:val="0"/>
          <w:color w:val="auto"/>
        </w:rPr>
        <w:t>The Evidence that student achievement and progress has been enhanced since using NS tools and school wide consistent, explicit, evidence based teaching and learning, focusing on results in Reading, Writing and Math</w:t>
      </w:r>
    </w:p>
    <w:bookmarkEnd w:id="0"/>
    <w:p w14:paraId="5C95A6F0" w14:textId="77777777" w:rsidR="00CD50BF" w:rsidRPr="008B3B3A" w:rsidRDefault="00CD50BF" w:rsidP="00CD50BF"/>
    <w:tbl>
      <w:tblPr>
        <w:tblStyle w:val="TableGrid"/>
        <w:tblW w:w="0" w:type="auto"/>
        <w:tblLook w:val="04A0" w:firstRow="1" w:lastRow="0" w:firstColumn="1" w:lastColumn="0" w:noHBand="0" w:noVBand="1"/>
      </w:tblPr>
      <w:tblGrid>
        <w:gridCol w:w="1844"/>
        <w:gridCol w:w="1057"/>
        <w:gridCol w:w="1297"/>
        <w:gridCol w:w="891"/>
        <w:gridCol w:w="1264"/>
        <w:gridCol w:w="1017"/>
        <w:gridCol w:w="1146"/>
      </w:tblGrid>
      <w:tr w:rsidR="00CD50BF" w:rsidRPr="00307CDB" w14:paraId="45B434FC" w14:textId="77777777" w:rsidTr="00A95B0D">
        <w:tc>
          <w:tcPr>
            <w:tcW w:w="9242" w:type="dxa"/>
            <w:gridSpan w:val="7"/>
          </w:tcPr>
          <w:p w14:paraId="743238A6" w14:textId="77777777" w:rsidR="00CD50BF" w:rsidRPr="005D2634" w:rsidRDefault="00CD50BF" w:rsidP="00A95B0D">
            <w:pPr>
              <w:rPr>
                <w:rFonts w:ascii="Arial" w:hAnsi="Arial" w:cs="Arial"/>
                <w:b/>
                <w:color w:val="0000CC"/>
              </w:rPr>
            </w:pPr>
            <w:r>
              <w:rPr>
                <w:rFonts w:ascii="Arial" w:hAnsi="Arial" w:cs="Arial"/>
                <w:b/>
              </w:rPr>
              <w:t>CPS</w:t>
            </w:r>
            <w:r w:rsidRPr="00425531">
              <w:rPr>
                <w:rFonts w:ascii="Arial" w:hAnsi="Arial" w:cs="Arial"/>
                <w:b/>
              </w:rPr>
              <w:t xml:space="preserve"> Yr</w:t>
            </w:r>
            <w:r>
              <w:rPr>
                <w:rFonts w:ascii="Arial" w:hAnsi="Arial" w:cs="Arial"/>
                <w:b/>
              </w:rPr>
              <w:t xml:space="preserve">. </w:t>
            </w:r>
            <w:r w:rsidRPr="00425531">
              <w:rPr>
                <w:rFonts w:ascii="Arial" w:hAnsi="Arial" w:cs="Arial"/>
                <w:b/>
              </w:rPr>
              <w:t>1 – Yr. 8</w:t>
            </w:r>
            <w:r>
              <w:rPr>
                <w:rFonts w:ascii="Arial" w:hAnsi="Arial" w:cs="Arial"/>
                <w:b/>
              </w:rPr>
              <w:t xml:space="preserve"> compared to NZ Yr. 1 – 8 data for </w:t>
            </w:r>
            <w:r w:rsidRPr="005D2634">
              <w:rPr>
                <w:rFonts w:ascii="Arial" w:hAnsi="Arial" w:cs="Arial"/>
                <w:b/>
                <w:i/>
              </w:rPr>
              <w:t>at</w:t>
            </w:r>
            <w:r>
              <w:rPr>
                <w:rFonts w:ascii="Arial" w:hAnsi="Arial" w:cs="Arial"/>
                <w:b/>
              </w:rPr>
              <w:t xml:space="preserve"> or </w:t>
            </w:r>
            <w:r w:rsidRPr="005D2634">
              <w:rPr>
                <w:rFonts w:ascii="Arial" w:hAnsi="Arial" w:cs="Arial"/>
                <w:b/>
                <w:i/>
              </w:rPr>
              <w:t>above</w:t>
            </w:r>
            <w:r>
              <w:rPr>
                <w:rFonts w:ascii="Arial" w:hAnsi="Arial" w:cs="Arial"/>
                <w:b/>
                <w:i/>
              </w:rPr>
              <w:t xml:space="preserve"> </w:t>
            </w:r>
            <w:r>
              <w:rPr>
                <w:rFonts w:ascii="Arial" w:hAnsi="Arial" w:cs="Arial"/>
                <w:b/>
              </w:rPr>
              <w:t>in relation to the national standards</w:t>
            </w:r>
          </w:p>
        </w:tc>
      </w:tr>
      <w:tr w:rsidR="00CD50BF" w:rsidRPr="00307CDB" w14:paraId="5E4974C1" w14:textId="77777777" w:rsidTr="00A95B0D">
        <w:tc>
          <w:tcPr>
            <w:tcW w:w="2119" w:type="dxa"/>
          </w:tcPr>
          <w:p w14:paraId="2D618AFA" w14:textId="77777777" w:rsidR="00CD50BF" w:rsidRPr="00425531" w:rsidRDefault="00CD50BF" w:rsidP="00A95B0D">
            <w:pPr>
              <w:rPr>
                <w:rFonts w:ascii="Arial" w:hAnsi="Arial" w:cs="Arial"/>
                <w:b/>
              </w:rPr>
            </w:pPr>
          </w:p>
        </w:tc>
        <w:tc>
          <w:tcPr>
            <w:tcW w:w="2501" w:type="dxa"/>
            <w:gridSpan w:val="2"/>
          </w:tcPr>
          <w:p w14:paraId="121D7416" w14:textId="77777777" w:rsidR="00CD50BF" w:rsidRPr="00775600" w:rsidRDefault="00CD50BF" w:rsidP="00A95B0D">
            <w:pPr>
              <w:rPr>
                <w:rFonts w:ascii="Arial" w:hAnsi="Arial" w:cs="Arial"/>
                <w:b/>
                <w:color w:val="0000CC"/>
              </w:rPr>
            </w:pPr>
            <w:r w:rsidRPr="00775600">
              <w:rPr>
                <w:rFonts w:ascii="Arial" w:hAnsi="Arial" w:cs="Arial"/>
                <w:b/>
                <w:color w:val="0000CC"/>
              </w:rPr>
              <w:t>Reading %</w:t>
            </w:r>
          </w:p>
        </w:tc>
        <w:tc>
          <w:tcPr>
            <w:tcW w:w="2311" w:type="dxa"/>
            <w:gridSpan w:val="2"/>
          </w:tcPr>
          <w:p w14:paraId="0EFB2C9D" w14:textId="77777777" w:rsidR="00CD50BF" w:rsidRPr="00775600" w:rsidRDefault="00CD50BF" w:rsidP="00A95B0D">
            <w:pPr>
              <w:rPr>
                <w:rFonts w:ascii="Arial" w:hAnsi="Arial" w:cs="Arial"/>
                <w:b/>
                <w:color w:val="0000CC"/>
              </w:rPr>
            </w:pPr>
            <w:r w:rsidRPr="00775600">
              <w:rPr>
                <w:rFonts w:ascii="Arial" w:hAnsi="Arial" w:cs="Arial"/>
                <w:b/>
                <w:color w:val="0000CC"/>
              </w:rPr>
              <w:t>Writing %</w:t>
            </w:r>
          </w:p>
        </w:tc>
        <w:tc>
          <w:tcPr>
            <w:tcW w:w="2311" w:type="dxa"/>
            <w:gridSpan w:val="2"/>
          </w:tcPr>
          <w:p w14:paraId="54EB347D" w14:textId="77777777" w:rsidR="00CD50BF" w:rsidRPr="00775600" w:rsidRDefault="00CD50BF" w:rsidP="00A95B0D">
            <w:pPr>
              <w:rPr>
                <w:rFonts w:ascii="Arial" w:hAnsi="Arial" w:cs="Arial"/>
                <w:b/>
                <w:color w:val="0000CC"/>
              </w:rPr>
            </w:pPr>
            <w:r w:rsidRPr="00775600">
              <w:rPr>
                <w:rFonts w:ascii="Arial" w:hAnsi="Arial" w:cs="Arial"/>
                <w:b/>
                <w:color w:val="0000CC"/>
              </w:rPr>
              <w:t>Mathematics %</w:t>
            </w:r>
          </w:p>
        </w:tc>
      </w:tr>
      <w:tr w:rsidR="00CD50BF" w:rsidRPr="00307CDB" w14:paraId="6A0829CD" w14:textId="77777777" w:rsidTr="00A95B0D">
        <w:tc>
          <w:tcPr>
            <w:tcW w:w="2119" w:type="dxa"/>
          </w:tcPr>
          <w:p w14:paraId="4310E5AE" w14:textId="77777777" w:rsidR="00CD50BF" w:rsidRPr="00307CDB" w:rsidRDefault="00CD50BF" w:rsidP="00A95B0D">
            <w:pPr>
              <w:rPr>
                <w:rFonts w:ascii="Arial" w:hAnsi="Arial" w:cs="Arial"/>
              </w:rPr>
            </w:pPr>
          </w:p>
        </w:tc>
        <w:tc>
          <w:tcPr>
            <w:tcW w:w="1151" w:type="dxa"/>
            <w:shd w:val="clear" w:color="auto" w:fill="F2DBDB" w:themeFill="accent2" w:themeFillTint="33"/>
          </w:tcPr>
          <w:p w14:paraId="7A482EAE" w14:textId="77777777" w:rsidR="00CD50BF" w:rsidRPr="00775600" w:rsidRDefault="00CD50BF" w:rsidP="00A95B0D">
            <w:pPr>
              <w:rPr>
                <w:rFonts w:ascii="Arial" w:hAnsi="Arial" w:cs="Arial"/>
                <w:b/>
              </w:rPr>
            </w:pPr>
            <w:r w:rsidRPr="00775600">
              <w:rPr>
                <w:rFonts w:ascii="Arial" w:hAnsi="Arial" w:cs="Arial"/>
                <w:b/>
              </w:rPr>
              <w:t>CPS</w:t>
            </w:r>
          </w:p>
        </w:tc>
        <w:tc>
          <w:tcPr>
            <w:tcW w:w="1350" w:type="dxa"/>
          </w:tcPr>
          <w:p w14:paraId="3E33CDAF" w14:textId="77777777" w:rsidR="00CD50BF" w:rsidRPr="00775600" w:rsidRDefault="00CD50BF" w:rsidP="00A95B0D">
            <w:pPr>
              <w:ind w:left="282"/>
              <w:rPr>
                <w:rFonts w:ascii="Arial" w:hAnsi="Arial" w:cs="Arial"/>
                <w:b/>
              </w:rPr>
            </w:pPr>
            <w:r w:rsidRPr="00775600">
              <w:rPr>
                <w:rFonts w:ascii="Arial" w:hAnsi="Arial" w:cs="Arial"/>
                <w:b/>
              </w:rPr>
              <w:t>NZ</w:t>
            </w:r>
          </w:p>
        </w:tc>
        <w:tc>
          <w:tcPr>
            <w:tcW w:w="945" w:type="dxa"/>
            <w:shd w:val="clear" w:color="auto" w:fill="F2DBDB" w:themeFill="accent2" w:themeFillTint="33"/>
          </w:tcPr>
          <w:p w14:paraId="646691CE" w14:textId="77777777" w:rsidR="00CD50BF" w:rsidRPr="00775600" w:rsidRDefault="00CD50BF" w:rsidP="00A95B0D">
            <w:pPr>
              <w:rPr>
                <w:rFonts w:ascii="Arial" w:hAnsi="Arial" w:cs="Arial"/>
                <w:b/>
              </w:rPr>
            </w:pPr>
            <w:r w:rsidRPr="00775600">
              <w:rPr>
                <w:rFonts w:ascii="Arial" w:hAnsi="Arial" w:cs="Arial"/>
                <w:b/>
              </w:rPr>
              <w:t>CPS</w:t>
            </w:r>
          </w:p>
        </w:tc>
        <w:tc>
          <w:tcPr>
            <w:tcW w:w="1366" w:type="dxa"/>
          </w:tcPr>
          <w:p w14:paraId="4DF486DE" w14:textId="77777777" w:rsidR="00CD50BF" w:rsidRPr="00775600" w:rsidRDefault="00CD50BF" w:rsidP="00A95B0D">
            <w:pPr>
              <w:ind w:left="282"/>
              <w:rPr>
                <w:rFonts w:ascii="Arial" w:hAnsi="Arial" w:cs="Arial"/>
                <w:b/>
              </w:rPr>
            </w:pPr>
            <w:r w:rsidRPr="00775600">
              <w:rPr>
                <w:rFonts w:ascii="Arial" w:hAnsi="Arial" w:cs="Arial"/>
                <w:b/>
              </w:rPr>
              <w:t>NZ</w:t>
            </w:r>
          </w:p>
        </w:tc>
        <w:tc>
          <w:tcPr>
            <w:tcW w:w="1095" w:type="dxa"/>
            <w:shd w:val="clear" w:color="auto" w:fill="F2DBDB" w:themeFill="accent2" w:themeFillTint="33"/>
          </w:tcPr>
          <w:p w14:paraId="38E6D63B" w14:textId="77777777" w:rsidR="00CD50BF" w:rsidRPr="00775600" w:rsidRDefault="00CD50BF" w:rsidP="00A95B0D">
            <w:pPr>
              <w:rPr>
                <w:rFonts w:ascii="Arial" w:hAnsi="Arial" w:cs="Arial"/>
                <w:b/>
              </w:rPr>
            </w:pPr>
            <w:r w:rsidRPr="00775600">
              <w:rPr>
                <w:rFonts w:ascii="Arial" w:hAnsi="Arial" w:cs="Arial"/>
                <w:b/>
              </w:rPr>
              <w:t>CPS</w:t>
            </w:r>
          </w:p>
        </w:tc>
        <w:tc>
          <w:tcPr>
            <w:tcW w:w="1216" w:type="dxa"/>
          </w:tcPr>
          <w:p w14:paraId="0AB55846" w14:textId="77777777" w:rsidR="00CD50BF" w:rsidRPr="00775600" w:rsidRDefault="00CD50BF" w:rsidP="00A95B0D">
            <w:pPr>
              <w:ind w:left="282"/>
              <w:rPr>
                <w:rFonts w:ascii="Arial" w:hAnsi="Arial" w:cs="Arial"/>
                <w:b/>
              </w:rPr>
            </w:pPr>
            <w:r w:rsidRPr="00775600">
              <w:rPr>
                <w:rFonts w:ascii="Arial" w:hAnsi="Arial" w:cs="Arial"/>
                <w:b/>
              </w:rPr>
              <w:t>NZ</w:t>
            </w:r>
          </w:p>
        </w:tc>
      </w:tr>
      <w:tr w:rsidR="00CD50BF" w:rsidRPr="00307CDB" w14:paraId="74B303E7" w14:textId="77777777" w:rsidTr="00A95B0D">
        <w:tc>
          <w:tcPr>
            <w:tcW w:w="2119" w:type="dxa"/>
          </w:tcPr>
          <w:p w14:paraId="56389C66" w14:textId="77777777" w:rsidR="00CD50BF" w:rsidRPr="00775600" w:rsidRDefault="00CD50BF" w:rsidP="00A95B0D">
            <w:pPr>
              <w:rPr>
                <w:rFonts w:ascii="Arial" w:hAnsi="Arial" w:cs="Arial"/>
                <w:b/>
              </w:rPr>
            </w:pPr>
            <w:r w:rsidRPr="00775600">
              <w:rPr>
                <w:rFonts w:ascii="Arial" w:hAnsi="Arial" w:cs="Arial"/>
                <w:b/>
              </w:rPr>
              <w:t>2011</w:t>
            </w:r>
          </w:p>
        </w:tc>
        <w:tc>
          <w:tcPr>
            <w:tcW w:w="1151" w:type="dxa"/>
            <w:shd w:val="clear" w:color="auto" w:fill="F2DBDB" w:themeFill="accent2" w:themeFillTint="33"/>
          </w:tcPr>
          <w:p w14:paraId="54D4E9B8" w14:textId="77777777" w:rsidR="00CD50BF" w:rsidRPr="00307CDB" w:rsidRDefault="00CD50BF" w:rsidP="00A95B0D">
            <w:pPr>
              <w:rPr>
                <w:rFonts w:ascii="Arial" w:hAnsi="Arial" w:cs="Arial"/>
              </w:rPr>
            </w:pPr>
            <w:r w:rsidRPr="00307CDB">
              <w:rPr>
                <w:rFonts w:ascii="Arial" w:hAnsi="Arial" w:cs="Arial"/>
              </w:rPr>
              <w:t>91</w:t>
            </w:r>
            <w:r>
              <w:rPr>
                <w:rFonts w:ascii="Arial" w:hAnsi="Arial" w:cs="Arial"/>
              </w:rPr>
              <w:t>%</w:t>
            </w:r>
          </w:p>
        </w:tc>
        <w:tc>
          <w:tcPr>
            <w:tcW w:w="1350" w:type="dxa"/>
          </w:tcPr>
          <w:p w14:paraId="07170A92" w14:textId="77777777" w:rsidR="00CD50BF" w:rsidRPr="00307CDB" w:rsidRDefault="00CD50BF" w:rsidP="00A95B0D">
            <w:pPr>
              <w:ind w:left="237"/>
              <w:rPr>
                <w:rFonts w:ascii="Arial" w:hAnsi="Arial" w:cs="Arial"/>
              </w:rPr>
            </w:pPr>
            <w:r>
              <w:rPr>
                <w:rFonts w:ascii="Arial" w:hAnsi="Arial" w:cs="Arial"/>
              </w:rPr>
              <w:t>76.2%</w:t>
            </w:r>
          </w:p>
        </w:tc>
        <w:tc>
          <w:tcPr>
            <w:tcW w:w="945" w:type="dxa"/>
            <w:shd w:val="clear" w:color="auto" w:fill="F2DBDB" w:themeFill="accent2" w:themeFillTint="33"/>
          </w:tcPr>
          <w:p w14:paraId="19FD2489" w14:textId="77777777" w:rsidR="00CD50BF" w:rsidRPr="00307CDB" w:rsidRDefault="00CD50BF" w:rsidP="00A95B0D">
            <w:pPr>
              <w:rPr>
                <w:rFonts w:ascii="Arial" w:hAnsi="Arial" w:cs="Arial"/>
              </w:rPr>
            </w:pPr>
            <w:r w:rsidRPr="00307CDB">
              <w:rPr>
                <w:rFonts w:ascii="Arial" w:hAnsi="Arial" w:cs="Arial"/>
              </w:rPr>
              <w:t>77</w:t>
            </w:r>
            <w:r>
              <w:rPr>
                <w:rFonts w:ascii="Arial" w:hAnsi="Arial" w:cs="Arial"/>
              </w:rPr>
              <w:t>%</w:t>
            </w:r>
          </w:p>
        </w:tc>
        <w:tc>
          <w:tcPr>
            <w:tcW w:w="1366" w:type="dxa"/>
          </w:tcPr>
          <w:p w14:paraId="1F6F56AA" w14:textId="77777777" w:rsidR="00CD50BF" w:rsidRPr="00307CDB" w:rsidRDefault="00CD50BF" w:rsidP="00A95B0D">
            <w:pPr>
              <w:rPr>
                <w:rFonts w:ascii="Arial" w:hAnsi="Arial" w:cs="Arial"/>
              </w:rPr>
            </w:pPr>
            <w:r>
              <w:rPr>
                <w:rFonts w:ascii="Arial" w:hAnsi="Arial" w:cs="Arial"/>
              </w:rPr>
              <w:t>68%</w:t>
            </w:r>
          </w:p>
        </w:tc>
        <w:tc>
          <w:tcPr>
            <w:tcW w:w="1095" w:type="dxa"/>
            <w:shd w:val="clear" w:color="auto" w:fill="F2DBDB" w:themeFill="accent2" w:themeFillTint="33"/>
          </w:tcPr>
          <w:p w14:paraId="0D5C88C2" w14:textId="77777777" w:rsidR="00CD50BF" w:rsidRPr="00307CDB" w:rsidRDefault="00CD50BF" w:rsidP="00A95B0D">
            <w:pPr>
              <w:rPr>
                <w:rFonts w:ascii="Arial" w:hAnsi="Arial" w:cs="Arial"/>
              </w:rPr>
            </w:pPr>
            <w:r w:rsidRPr="00307CDB">
              <w:rPr>
                <w:rFonts w:ascii="Arial" w:hAnsi="Arial" w:cs="Arial"/>
              </w:rPr>
              <w:t>87</w:t>
            </w:r>
            <w:r>
              <w:rPr>
                <w:rFonts w:ascii="Arial" w:hAnsi="Arial" w:cs="Arial"/>
              </w:rPr>
              <w:t>%</w:t>
            </w:r>
          </w:p>
        </w:tc>
        <w:tc>
          <w:tcPr>
            <w:tcW w:w="1216" w:type="dxa"/>
          </w:tcPr>
          <w:p w14:paraId="31F73B84" w14:textId="77777777" w:rsidR="00CD50BF" w:rsidRPr="00307CDB" w:rsidRDefault="00CD50BF" w:rsidP="00A95B0D">
            <w:pPr>
              <w:rPr>
                <w:rFonts w:ascii="Arial" w:hAnsi="Arial" w:cs="Arial"/>
              </w:rPr>
            </w:pPr>
            <w:r>
              <w:rPr>
                <w:rFonts w:ascii="Arial" w:hAnsi="Arial" w:cs="Arial"/>
              </w:rPr>
              <w:t>72.2%</w:t>
            </w:r>
          </w:p>
        </w:tc>
      </w:tr>
      <w:tr w:rsidR="00CD50BF" w:rsidRPr="00307CDB" w14:paraId="6C25B72C" w14:textId="77777777" w:rsidTr="00A95B0D">
        <w:tc>
          <w:tcPr>
            <w:tcW w:w="2119" w:type="dxa"/>
          </w:tcPr>
          <w:p w14:paraId="12A9A3AA" w14:textId="77777777" w:rsidR="00CD50BF" w:rsidRPr="00775600" w:rsidRDefault="00CD50BF" w:rsidP="00A95B0D">
            <w:pPr>
              <w:rPr>
                <w:rFonts w:ascii="Arial" w:hAnsi="Arial" w:cs="Arial"/>
                <w:b/>
              </w:rPr>
            </w:pPr>
            <w:r w:rsidRPr="00775600">
              <w:rPr>
                <w:rFonts w:ascii="Arial" w:hAnsi="Arial" w:cs="Arial"/>
                <w:b/>
              </w:rPr>
              <w:t>2012</w:t>
            </w:r>
          </w:p>
        </w:tc>
        <w:tc>
          <w:tcPr>
            <w:tcW w:w="1151" w:type="dxa"/>
            <w:shd w:val="clear" w:color="auto" w:fill="F2DBDB" w:themeFill="accent2" w:themeFillTint="33"/>
          </w:tcPr>
          <w:p w14:paraId="10F87638" w14:textId="77777777" w:rsidR="00CD50BF" w:rsidRPr="00307CDB" w:rsidRDefault="00CD50BF" w:rsidP="00A95B0D">
            <w:pPr>
              <w:rPr>
                <w:rFonts w:ascii="Arial" w:hAnsi="Arial" w:cs="Arial"/>
              </w:rPr>
            </w:pPr>
            <w:r w:rsidRPr="00307CDB">
              <w:rPr>
                <w:rFonts w:ascii="Arial" w:hAnsi="Arial" w:cs="Arial"/>
              </w:rPr>
              <w:t>91</w:t>
            </w:r>
            <w:r>
              <w:rPr>
                <w:rFonts w:ascii="Arial" w:hAnsi="Arial" w:cs="Arial"/>
              </w:rPr>
              <w:t>%</w:t>
            </w:r>
          </w:p>
        </w:tc>
        <w:tc>
          <w:tcPr>
            <w:tcW w:w="1350" w:type="dxa"/>
          </w:tcPr>
          <w:p w14:paraId="26DC046F" w14:textId="77777777" w:rsidR="00CD50BF" w:rsidRPr="00307CDB" w:rsidRDefault="00CD50BF" w:rsidP="00A95B0D">
            <w:pPr>
              <w:ind w:left="237"/>
              <w:rPr>
                <w:rFonts w:ascii="Arial" w:hAnsi="Arial" w:cs="Arial"/>
              </w:rPr>
            </w:pPr>
            <w:r>
              <w:rPr>
                <w:rFonts w:ascii="Arial" w:hAnsi="Arial" w:cs="Arial"/>
              </w:rPr>
              <w:t>77.5%</w:t>
            </w:r>
          </w:p>
        </w:tc>
        <w:tc>
          <w:tcPr>
            <w:tcW w:w="945" w:type="dxa"/>
            <w:shd w:val="clear" w:color="auto" w:fill="F2DBDB" w:themeFill="accent2" w:themeFillTint="33"/>
          </w:tcPr>
          <w:p w14:paraId="61A2D1BE" w14:textId="77777777" w:rsidR="00CD50BF" w:rsidRPr="00307CDB" w:rsidRDefault="00CD50BF" w:rsidP="00A95B0D">
            <w:pPr>
              <w:rPr>
                <w:rFonts w:ascii="Arial" w:hAnsi="Arial" w:cs="Arial"/>
              </w:rPr>
            </w:pPr>
            <w:r w:rsidRPr="00307CDB">
              <w:rPr>
                <w:rFonts w:ascii="Arial" w:hAnsi="Arial" w:cs="Arial"/>
              </w:rPr>
              <w:t>80</w:t>
            </w:r>
            <w:r>
              <w:rPr>
                <w:rFonts w:ascii="Arial" w:hAnsi="Arial" w:cs="Arial"/>
              </w:rPr>
              <w:t>%</w:t>
            </w:r>
          </w:p>
        </w:tc>
        <w:tc>
          <w:tcPr>
            <w:tcW w:w="1366" w:type="dxa"/>
          </w:tcPr>
          <w:p w14:paraId="3E554170" w14:textId="77777777" w:rsidR="00CD50BF" w:rsidRPr="00307CDB" w:rsidRDefault="00CD50BF" w:rsidP="00A95B0D">
            <w:pPr>
              <w:rPr>
                <w:rFonts w:ascii="Arial" w:hAnsi="Arial" w:cs="Arial"/>
              </w:rPr>
            </w:pPr>
            <w:r>
              <w:rPr>
                <w:rFonts w:ascii="Arial" w:hAnsi="Arial" w:cs="Arial"/>
              </w:rPr>
              <w:t>70.2%</w:t>
            </w:r>
          </w:p>
        </w:tc>
        <w:tc>
          <w:tcPr>
            <w:tcW w:w="1095" w:type="dxa"/>
            <w:shd w:val="clear" w:color="auto" w:fill="F2DBDB" w:themeFill="accent2" w:themeFillTint="33"/>
          </w:tcPr>
          <w:p w14:paraId="67BC303D" w14:textId="77777777" w:rsidR="00CD50BF" w:rsidRPr="00307CDB" w:rsidRDefault="00CD50BF" w:rsidP="00A95B0D">
            <w:pPr>
              <w:rPr>
                <w:rFonts w:ascii="Arial" w:hAnsi="Arial" w:cs="Arial"/>
              </w:rPr>
            </w:pPr>
            <w:r w:rsidRPr="00307CDB">
              <w:rPr>
                <w:rFonts w:ascii="Arial" w:hAnsi="Arial" w:cs="Arial"/>
              </w:rPr>
              <w:t>90</w:t>
            </w:r>
            <w:r>
              <w:rPr>
                <w:rFonts w:ascii="Arial" w:hAnsi="Arial" w:cs="Arial"/>
              </w:rPr>
              <w:t>%</w:t>
            </w:r>
          </w:p>
        </w:tc>
        <w:tc>
          <w:tcPr>
            <w:tcW w:w="1216" w:type="dxa"/>
          </w:tcPr>
          <w:p w14:paraId="39938A19" w14:textId="77777777" w:rsidR="00CD50BF" w:rsidRPr="00307CDB" w:rsidRDefault="00CD50BF" w:rsidP="00A95B0D">
            <w:pPr>
              <w:rPr>
                <w:rFonts w:ascii="Arial" w:hAnsi="Arial" w:cs="Arial"/>
              </w:rPr>
            </w:pPr>
            <w:r>
              <w:rPr>
                <w:rFonts w:ascii="Arial" w:hAnsi="Arial" w:cs="Arial"/>
              </w:rPr>
              <w:t>73.6%</w:t>
            </w:r>
          </w:p>
        </w:tc>
      </w:tr>
      <w:tr w:rsidR="00CD50BF" w:rsidRPr="00307CDB" w14:paraId="5DC9D3DC" w14:textId="77777777" w:rsidTr="00A95B0D">
        <w:tc>
          <w:tcPr>
            <w:tcW w:w="2119" w:type="dxa"/>
          </w:tcPr>
          <w:p w14:paraId="7DF107DE" w14:textId="77777777" w:rsidR="00CD50BF" w:rsidRPr="00775600" w:rsidRDefault="00CD50BF" w:rsidP="00A95B0D">
            <w:pPr>
              <w:rPr>
                <w:rFonts w:ascii="Arial" w:hAnsi="Arial" w:cs="Arial"/>
                <w:b/>
              </w:rPr>
            </w:pPr>
            <w:r w:rsidRPr="00775600">
              <w:rPr>
                <w:rFonts w:ascii="Arial" w:hAnsi="Arial" w:cs="Arial"/>
                <w:b/>
              </w:rPr>
              <w:t>2013</w:t>
            </w:r>
          </w:p>
        </w:tc>
        <w:tc>
          <w:tcPr>
            <w:tcW w:w="1151" w:type="dxa"/>
            <w:shd w:val="clear" w:color="auto" w:fill="F2DBDB" w:themeFill="accent2" w:themeFillTint="33"/>
          </w:tcPr>
          <w:p w14:paraId="22C7DDA4" w14:textId="77777777" w:rsidR="00CD50BF" w:rsidRPr="00307CDB" w:rsidRDefault="00CD50BF" w:rsidP="00A95B0D">
            <w:pPr>
              <w:rPr>
                <w:rFonts w:ascii="Arial" w:hAnsi="Arial" w:cs="Arial"/>
              </w:rPr>
            </w:pPr>
            <w:r w:rsidRPr="00307CDB">
              <w:rPr>
                <w:rFonts w:ascii="Arial" w:hAnsi="Arial" w:cs="Arial"/>
              </w:rPr>
              <w:t>90</w:t>
            </w:r>
            <w:r>
              <w:rPr>
                <w:rFonts w:ascii="Arial" w:hAnsi="Arial" w:cs="Arial"/>
              </w:rPr>
              <w:t>%</w:t>
            </w:r>
          </w:p>
        </w:tc>
        <w:tc>
          <w:tcPr>
            <w:tcW w:w="1350" w:type="dxa"/>
          </w:tcPr>
          <w:p w14:paraId="688E9825" w14:textId="77777777" w:rsidR="00CD50BF" w:rsidRPr="00307CDB" w:rsidRDefault="00CD50BF" w:rsidP="00A95B0D">
            <w:pPr>
              <w:ind w:left="237"/>
              <w:rPr>
                <w:rFonts w:ascii="Arial" w:hAnsi="Arial" w:cs="Arial"/>
              </w:rPr>
            </w:pPr>
            <w:r>
              <w:rPr>
                <w:rFonts w:ascii="Arial" w:hAnsi="Arial" w:cs="Arial"/>
              </w:rPr>
              <w:t>77.9%</w:t>
            </w:r>
          </w:p>
        </w:tc>
        <w:tc>
          <w:tcPr>
            <w:tcW w:w="945" w:type="dxa"/>
            <w:shd w:val="clear" w:color="auto" w:fill="F2DBDB" w:themeFill="accent2" w:themeFillTint="33"/>
          </w:tcPr>
          <w:p w14:paraId="416FACCA" w14:textId="77777777" w:rsidR="00CD50BF" w:rsidRPr="00307CDB" w:rsidRDefault="00CD50BF" w:rsidP="00A95B0D">
            <w:pPr>
              <w:rPr>
                <w:rFonts w:ascii="Arial" w:hAnsi="Arial" w:cs="Arial"/>
              </w:rPr>
            </w:pPr>
            <w:r w:rsidRPr="00307CDB">
              <w:rPr>
                <w:rFonts w:ascii="Arial" w:hAnsi="Arial" w:cs="Arial"/>
              </w:rPr>
              <w:t>81</w:t>
            </w:r>
            <w:r>
              <w:rPr>
                <w:rFonts w:ascii="Arial" w:hAnsi="Arial" w:cs="Arial"/>
              </w:rPr>
              <w:t>%</w:t>
            </w:r>
          </w:p>
        </w:tc>
        <w:tc>
          <w:tcPr>
            <w:tcW w:w="1366" w:type="dxa"/>
          </w:tcPr>
          <w:p w14:paraId="7444AA0E" w14:textId="77777777" w:rsidR="00CD50BF" w:rsidRPr="00307CDB" w:rsidRDefault="00CD50BF" w:rsidP="00A95B0D">
            <w:pPr>
              <w:rPr>
                <w:rFonts w:ascii="Arial" w:hAnsi="Arial" w:cs="Arial"/>
              </w:rPr>
            </w:pPr>
            <w:r>
              <w:rPr>
                <w:rFonts w:ascii="Arial" w:hAnsi="Arial" w:cs="Arial"/>
              </w:rPr>
              <w:t>70.6%</w:t>
            </w:r>
          </w:p>
        </w:tc>
        <w:tc>
          <w:tcPr>
            <w:tcW w:w="1095" w:type="dxa"/>
            <w:shd w:val="clear" w:color="auto" w:fill="F2DBDB" w:themeFill="accent2" w:themeFillTint="33"/>
          </w:tcPr>
          <w:p w14:paraId="093CD1C7" w14:textId="77777777" w:rsidR="00CD50BF" w:rsidRPr="00307CDB" w:rsidRDefault="00CD50BF" w:rsidP="00A95B0D">
            <w:pPr>
              <w:rPr>
                <w:rFonts w:ascii="Arial" w:hAnsi="Arial" w:cs="Arial"/>
              </w:rPr>
            </w:pPr>
            <w:r w:rsidRPr="00307CDB">
              <w:rPr>
                <w:rFonts w:ascii="Arial" w:hAnsi="Arial" w:cs="Arial"/>
              </w:rPr>
              <w:t>88</w:t>
            </w:r>
            <w:r>
              <w:rPr>
                <w:rFonts w:ascii="Arial" w:hAnsi="Arial" w:cs="Arial"/>
              </w:rPr>
              <w:t>%</w:t>
            </w:r>
          </w:p>
        </w:tc>
        <w:tc>
          <w:tcPr>
            <w:tcW w:w="1216" w:type="dxa"/>
          </w:tcPr>
          <w:p w14:paraId="7D4867FA" w14:textId="77777777" w:rsidR="00CD50BF" w:rsidRPr="00307CDB" w:rsidRDefault="00CD50BF" w:rsidP="00A95B0D">
            <w:pPr>
              <w:rPr>
                <w:rFonts w:ascii="Arial" w:hAnsi="Arial" w:cs="Arial"/>
              </w:rPr>
            </w:pPr>
            <w:r>
              <w:rPr>
                <w:rFonts w:ascii="Arial" w:hAnsi="Arial" w:cs="Arial"/>
              </w:rPr>
              <w:t>74.6%</w:t>
            </w:r>
          </w:p>
        </w:tc>
      </w:tr>
      <w:tr w:rsidR="00CD50BF" w:rsidRPr="00307CDB" w14:paraId="2856AC42" w14:textId="77777777" w:rsidTr="00A95B0D">
        <w:tc>
          <w:tcPr>
            <w:tcW w:w="2119" w:type="dxa"/>
          </w:tcPr>
          <w:p w14:paraId="22D18A72" w14:textId="77777777" w:rsidR="00CD50BF" w:rsidRPr="00775600" w:rsidRDefault="00CD50BF" w:rsidP="00A95B0D">
            <w:pPr>
              <w:rPr>
                <w:rFonts w:ascii="Arial" w:hAnsi="Arial" w:cs="Arial"/>
                <w:b/>
              </w:rPr>
            </w:pPr>
            <w:r w:rsidRPr="00775600">
              <w:rPr>
                <w:rFonts w:ascii="Arial" w:hAnsi="Arial" w:cs="Arial"/>
                <w:b/>
              </w:rPr>
              <w:t>2014</w:t>
            </w:r>
          </w:p>
        </w:tc>
        <w:tc>
          <w:tcPr>
            <w:tcW w:w="1151" w:type="dxa"/>
            <w:shd w:val="clear" w:color="auto" w:fill="F2DBDB" w:themeFill="accent2" w:themeFillTint="33"/>
          </w:tcPr>
          <w:p w14:paraId="5BB903FD" w14:textId="77777777" w:rsidR="00CD50BF" w:rsidRPr="00307CDB" w:rsidRDefault="00CD50BF" w:rsidP="00A95B0D">
            <w:pPr>
              <w:rPr>
                <w:rFonts w:ascii="Arial" w:hAnsi="Arial" w:cs="Arial"/>
              </w:rPr>
            </w:pPr>
            <w:r w:rsidRPr="00307CDB">
              <w:rPr>
                <w:rFonts w:ascii="Arial" w:hAnsi="Arial" w:cs="Arial"/>
              </w:rPr>
              <w:t>92</w:t>
            </w:r>
            <w:r>
              <w:rPr>
                <w:rFonts w:ascii="Arial" w:hAnsi="Arial" w:cs="Arial"/>
              </w:rPr>
              <w:t>%</w:t>
            </w:r>
          </w:p>
        </w:tc>
        <w:tc>
          <w:tcPr>
            <w:tcW w:w="1350" w:type="dxa"/>
          </w:tcPr>
          <w:p w14:paraId="63DAF32D" w14:textId="77777777" w:rsidR="00CD50BF" w:rsidRPr="00307CDB" w:rsidRDefault="00CD50BF" w:rsidP="00A95B0D">
            <w:pPr>
              <w:jc w:val="center"/>
              <w:rPr>
                <w:rFonts w:ascii="Arial" w:hAnsi="Arial" w:cs="Arial"/>
              </w:rPr>
            </w:pPr>
            <w:r>
              <w:rPr>
                <w:rFonts w:ascii="Arial" w:hAnsi="Arial" w:cs="Arial"/>
              </w:rPr>
              <w:t>78.0%</w:t>
            </w:r>
          </w:p>
        </w:tc>
        <w:tc>
          <w:tcPr>
            <w:tcW w:w="945" w:type="dxa"/>
            <w:shd w:val="clear" w:color="auto" w:fill="F2DBDB" w:themeFill="accent2" w:themeFillTint="33"/>
          </w:tcPr>
          <w:p w14:paraId="61AFDF43" w14:textId="77777777" w:rsidR="00CD50BF" w:rsidRPr="00307CDB" w:rsidRDefault="00CD50BF" w:rsidP="00A95B0D">
            <w:pPr>
              <w:rPr>
                <w:rFonts w:ascii="Arial" w:hAnsi="Arial" w:cs="Arial"/>
              </w:rPr>
            </w:pPr>
            <w:r w:rsidRPr="00307CDB">
              <w:rPr>
                <w:rFonts w:ascii="Arial" w:hAnsi="Arial" w:cs="Arial"/>
              </w:rPr>
              <w:t>88</w:t>
            </w:r>
            <w:r>
              <w:rPr>
                <w:rFonts w:ascii="Arial" w:hAnsi="Arial" w:cs="Arial"/>
              </w:rPr>
              <w:t>%</w:t>
            </w:r>
          </w:p>
        </w:tc>
        <w:tc>
          <w:tcPr>
            <w:tcW w:w="1366" w:type="dxa"/>
          </w:tcPr>
          <w:p w14:paraId="3314E5FB" w14:textId="77777777" w:rsidR="00CD50BF" w:rsidRPr="00307CDB" w:rsidRDefault="00CD50BF" w:rsidP="00A95B0D">
            <w:pPr>
              <w:rPr>
                <w:rFonts w:ascii="Arial" w:hAnsi="Arial" w:cs="Arial"/>
              </w:rPr>
            </w:pPr>
            <w:r>
              <w:rPr>
                <w:rFonts w:ascii="Arial" w:hAnsi="Arial" w:cs="Arial"/>
              </w:rPr>
              <w:t xml:space="preserve">71.3%                                   </w:t>
            </w:r>
          </w:p>
        </w:tc>
        <w:tc>
          <w:tcPr>
            <w:tcW w:w="1095" w:type="dxa"/>
            <w:shd w:val="clear" w:color="auto" w:fill="F2DBDB" w:themeFill="accent2" w:themeFillTint="33"/>
          </w:tcPr>
          <w:p w14:paraId="43C7A374" w14:textId="77777777" w:rsidR="00CD50BF" w:rsidRPr="00307CDB" w:rsidRDefault="00CD50BF" w:rsidP="00A95B0D">
            <w:pPr>
              <w:rPr>
                <w:rFonts w:ascii="Arial" w:hAnsi="Arial" w:cs="Arial"/>
              </w:rPr>
            </w:pPr>
            <w:r w:rsidRPr="00307CDB">
              <w:rPr>
                <w:rFonts w:ascii="Arial" w:hAnsi="Arial" w:cs="Arial"/>
              </w:rPr>
              <w:t>93</w:t>
            </w:r>
            <w:r>
              <w:rPr>
                <w:rFonts w:ascii="Arial" w:hAnsi="Arial" w:cs="Arial"/>
              </w:rPr>
              <w:t>%</w:t>
            </w:r>
          </w:p>
        </w:tc>
        <w:tc>
          <w:tcPr>
            <w:tcW w:w="1216" w:type="dxa"/>
          </w:tcPr>
          <w:p w14:paraId="5CD667BD" w14:textId="77777777" w:rsidR="00CD50BF" w:rsidRPr="00307CDB" w:rsidRDefault="00CD50BF" w:rsidP="00A95B0D">
            <w:pPr>
              <w:rPr>
                <w:rFonts w:ascii="Arial" w:hAnsi="Arial" w:cs="Arial"/>
              </w:rPr>
            </w:pPr>
            <w:r>
              <w:rPr>
                <w:rFonts w:ascii="Arial" w:hAnsi="Arial" w:cs="Arial"/>
              </w:rPr>
              <w:t>75.2%</w:t>
            </w:r>
          </w:p>
        </w:tc>
      </w:tr>
    </w:tbl>
    <w:p w14:paraId="201B175A" w14:textId="77777777" w:rsidR="00CD50BF" w:rsidRDefault="00CD50BF" w:rsidP="00CD50BF">
      <w:pPr>
        <w:spacing w:after="0" w:line="240" w:lineRule="auto"/>
        <w:rPr>
          <w:rFonts w:ascii="Arial" w:hAnsi="Arial" w:cs="Arial"/>
        </w:rPr>
      </w:pPr>
    </w:p>
    <w:p w14:paraId="4A5B9416" w14:textId="77777777" w:rsidR="00CD50BF" w:rsidRPr="00B1519D" w:rsidRDefault="00CD50BF" w:rsidP="00CD50BF">
      <w:pPr>
        <w:spacing w:after="0" w:line="240" w:lineRule="auto"/>
        <w:rPr>
          <w:rFonts w:ascii="Arial" w:hAnsi="Arial" w:cs="Arial"/>
          <w:color w:val="0000CC"/>
        </w:rPr>
      </w:pPr>
      <w:r w:rsidRPr="00B1519D">
        <w:rPr>
          <w:rFonts w:ascii="Arial" w:hAnsi="Arial" w:cs="Arial"/>
          <w:color w:val="0000CC"/>
        </w:rPr>
        <w:t>We have maintained and increased high achievement levels in all three learning areas over 4 years and during and post Christchurch earthquakes.</w:t>
      </w:r>
    </w:p>
    <w:p w14:paraId="364CF944" w14:textId="77777777" w:rsidR="00CD50BF" w:rsidRDefault="00CD50BF" w:rsidP="00CD50BF">
      <w:pPr>
        <w:spacing w:after="0" w:line="240" w:lineRule="auto"/>
        <w:rPr>
          <w:rFonts w:ascii="Arial" w:hAnsi="Arial" w:cs="Arial"/>
        </w:rPr>
      </w:pPr>
    </w:p>
    <w:p w14:paraId="42038769" w14:textId="77777777" w:rsidR="00CD50BF" w:rsidRDefault="00CD50BF" w:rsidP="00CD50B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376"/>
        <w:gridCol w:w="1985"/>
        <w:gridCol w:w="1701"/>
        <w:gridCol w:w="1701"/>
        <w:gridCol w:w="1984"/>
      </w:tblGrid>
      <w:tr w:rsidR="00CD50BF" w14:paraId="4145FDE4" w14:textId="77777777" w:rsidTr="00A95B0D">
        <w:tc>
          <w:tcPr>
            <w:tcW w:w="2376" w:type="dxa"/>
          </w:tcPr>
          <w:p w14:paraId="1C6E9B97" w14:textId="77777777" w:rsidR="00CD50BF" w:rsidRDefault="00CD50BF" w:rsidP="00A95B0D">
            <w:r>
              <w:t xml:space="preserve">Whole school  </w:t>
            </w:r>
            <w:r w:rsidRPr="00DC56C7">
              <w:rPr>
                <w:b/>
                <w:i/>
              </w:rPr>
              <w:t>at</w:t>
            </w:r>
            <w:r>
              <w:t xml:space="preserve"> or </w:t>
            </w:r>
            <w:r w:rsidRPr="00DC56C7">
              <w:rPr>
                <w:b/>
                <w:i/>
              </w:rPr>
              <w:t>above</w:t>
            </w:r>
            <w:r>
              <w:t xml:space="preserve"> </w:t>
            </w:r>
          </w:p>
          <w:p w14:paraId="5A53BE87" w14:textId="77777777" w:rsidR="00CD50BF" w:rsidRPr="00AD3E37" w:rsidRDefault="00CD50BF" w:rsidP="00A95B0D">
            <w:pPr>
              <w:rPr>
                <w:b/>
                <w:color w:val="0000CC"/>
              </w:rPr>
            </w:pPr>
            <w:r w:rsidRPr="00AD3E37">
              <w:rPr>
                <w:b/>
                <w:color w:val="0000CC"/>
              </w:rPr>
              <w:t>Mathematics</w:t>
            </w:r>
          </w:p>
          <w:p w14:paraId="59C1369B" w14:textId="77777777" w:rsidR="00CD50BF" w:rsidRPr="00881FEF" w:rsidRDefault="00CD50BF" w:rsidP="00A95B0D"/>
        </w:tc>
        <w:tc>
          <w:tcPr>
            <w:tcW w:w="1985" w:type="dxa"/>
          </w:tcPr>
          <w:p w14:paraId="6458B1EC" w14:textId="77777777" w:rsidR="00CD50BF" w:rsidRDefault="00CD50BF" w:rsidP="00A95B0D">
            <w:r>
              <w:t>2011</w:t>
            </w:r>
          </w:p>
          <w:p w14:paraId="39AE8DDD" w14:textId="77777777" w:rsidR="00CD50BF" w:rsidRDefault="00CD50BF" w:rsidP="00A95B0D">
            <w:pPr>
              <w:rPr>
                <w:b/>
                <w:i/>
              </w:rPr>
            </w:pPr>
            <w:r>
              <w:t xml:space="preserve">Total </w:t>
            </w:r>
            <w:r w:rsidRPr="00AD3E37">
              <w:rPr>
                <w:b/>
                <w:color w:val="0000CC"/>
              </w:rPr>
              <w:t>87%</w:t>
            </w:r>
            <w:r>
              <w:t xml:space="preserve"> for </w:t>
            </w:r>
            <w:r w:rsidRPr="00AD3E37">
              <w:rPr>
                <w:b/>
                <w:i/>
              </w:rPr>
              <w:t>at</w:t>
            </w:r>
            <w:r>
              <w:t xml:space="preserve"> or </w:t>
            </w:r>
            <w:r w:rsidRPr="00AD3E37">
              <w:rPr>
                <w:b/>
                <w:i/>
              </w:rPr>
              <w:t>above</w:t>
            </w:r>
            <w:r>
              <w:rPr>
                <w:b/>
                <w:i/>
              </w:rPr>
              <w:t xml:space="preserve">. </w:t>
            </w:r>
          </w:p>
          <w:p w14:paraId="78853D09" w14:textId="77777777" w:rsidR="00CD50BF" w:rsidRPr="00E55EE2" w:rsidRDefault="00CD50BF" w:rsidP="00A95B0D">
            <w:pPr>
              <w:spacing w:line="360" w:lineRule="auto"/>
              <w:rPr>
                <w:b/>
              </w:rPr>
            </w:pPr>
            <w:r w:rsidRPr="00E55EE2">
              <w:rPr>
                <w:b/>
              </w:rPr>
              <w:t>%</w:t>
            </w:r>
          </w:p>
        </w:tc>
        <w:tc>
          <w:tcPr>
            <w:tcW w:w="1701" w:type="dxa"/>
          </w:tcPr>
          <w:p w14:paraId="2A8375BC" w14:textId="77777777" w:rsidR="00CD50BF" w:rsidRDefault="00CD50BF" w:rsidP="00A95B0D">
            <w:r>
              <w:t>2012</w:t>
            </w:r>
          </w:p>
          <w:p w14:paraId="104883B1" w14:textId="77777777" w:rsidR="00CD50BF" w:rsidRDefault="00CD50BF" w:rsidP="00A95B0D">
            <w:pPr>
              <w:rPr>
                <w:b/>
                <w:i/>
              </w:rPr>
            </w:pPr>
            <w:r>
              <w:t xml:space="preserve">Total </w:t>
            </w:r>
            <w:r w:rsidRPr="00AD3E37">
              <w:rPr>
                <w:b/>
                <w:color w:val="0000CC"/>
              </w:rPr>
              <w:t>90%</w:t>
            </w:r>
            <w:r>
              <w:t xml:space="preserve"> for </w:t>
            </w:r>
            <w:r w:rsidRPr="00AD3E37">
              <w:rPr>
                <w:b/>
                <w:i/>
              </w:rPr>
              <w:t>at</w:t>
            </w:r>
            <w:r>
              <w:t xml:space="preserve"> or </w:t>
            </w:r>
            <w:r w:rsidRPr="00AD3E37">
              <w:rPr>
                <w:b/>
                <w:i/>
              </w:rPr>
              <w:t>above</w:t>
            </w:r>
          </w:p>
          <w:p w14:paraId="48F0E156" w14:textId="77777777" w:rsidR="00CD50BF" w:rsidRPr="00E55EE2" w:rsidRDefault="00CD50BF" w:rsidP="00A95B0D">
            <w:r w:rsidRPr="00E55EE2">
              <w:rPr>
                <w:b/>
              </w:rPr>
              <w:t>%</w:t>
            </w:r>
          </w:p>
        </w:tc>
        <w:tc>
          <w:tcPr>
            <w:tcW w:w="1701" w:type="dxa"/>
          </w:tcPr>
          <w:p w14:paraId="5C017762" w14:textId="77777777" w:rsidR="00CD50BF" w:rsidRDefault="00CD50BF" w:rsidP="00A95B0D">
            <w:r>
              <w:t>2013</w:t>
            </w:r>
          </w:p>
          <w:p w14:paraId="3F4DCDF5" w14:textId="77777777" w:rsidR="00CD50BF" w:rsidRDefault="00CD50BF" w:rsidP="00A95B0D">
            <w:pPr>
              <w:rPr>
                <w:b/>
                <w:i/>
              </w:rPr>
            </w:pPr>
            <w:r>
              <w:t xml:space="preserve">Total </w:t>
            </w:r>
            <w:r w:rsidRPr="00E55EE2">
              <w:rPr>
                <w:b/>
                <w:color w:val="0000CC"/>
              </w:rPr>
              <w:t>88%</w:t>
            </w:r>
            <w:r>
              <w:t xml:space="preserve"> for </w:t>
            </w:r>
            <w:r w:rsidRPr="00AD3E37">
              <w:rPr>
                <w:b/>
                <w:i/>
              </w:rPr>
              <w:t>at</w:t>
            </w:r>
            <w:r>
              <w:t xml:space="preserve"> or </w:t>
            </w:r>
            <w:r w:rsidRPr="00AD3E37">
              <w:rPr>
                <w:b/>
                <w:i/>
              </w:rPr>
              <w:t>above</w:t>
            </w:r>
          </w:p>
          <w:p w14:paraId="26E3044D" w14:textId="77777777" w:rsidR="00CD50BF" w:rsidRPr="00E55EE2" w:rsidRDefault="00CD50BF" w:rsidP="00A95B0D">
            <w:r w:rsidRPr="00E55EE2">
              <w:rPr>
                <w:b/>
              </w:rPr>
              <w:t>%</w:t>
            </w:r>
          </w:p>
        </w:tc>
        <w:tc>
          <w:tcPr>
            <w:tcW w:w="1984" w:type="dxa"/>
          </w:tcPr>
          <w:p w14:paraId="6E28BEB5" w14:textId="77777777" w:rsidR="00CD50BF" w:rsidRDefault="00CD50BF" w:rsidP="00A95B0D">
            <w:r>
              <w:t>2014</w:t>
            </w:r>
          </w:p>
          <w:p w14:paraId="2C29238F" w14:textId="77777777" w:rsidR="00CD50BF" w:rsidRDefault="00CD50BF" w:rsidP="00A95B0D">
            <w:r>
              <w:t xml:space="preserve">Total </w:t>
            </w:r>
            <w:r w:rsidRPr="00AD3E37">
              <w:rPr>
                <w:b/>
                <w:color w:val="0000CC"/>
              </w:rPr>
              <w:t>94 %</w:t>
            </w:r>
            <w:r w:rsidRPr="00AD3E37">
              <w:rPr>
                <w:color w:val="0000CC"/>
              </w:rPr>
              <w:t xml:space="preserve"> </w:t>
            </w:r>
            <w:r>
              <w:t xml:space="preserve">for </w:t>
            </w:r>
            <w:r w:rsidRPr="00AD3E37">
              <w:rPr>
                <w:b/>
                <w:i/>
              </w:rPr>
              <w:t>at</w:t>
            </w:r>
            <w:r>
              <w:t xml:space="preserve"> or </w:t>
            </w:r>
            <w:r w:rsidRPr="00AD3E37">
              <w:rPr>
                <w:b/>
                <w:i/>
              </w:rPr>
              <w:t>above</w:t>
            </w:r>
            <w:r>
              <w:t xml:space="preserve">. </w:t>
            </w:r>
            <w:r w:rsidRPr="00E55EE2">
              <w:rPr>
                <w:b/>
              </w:rPr>
              <w:t>%</w:t>
            </w:r>
          </w:p>
        </w:tc>
      </w:tr>
      <w:tr w:rsidR="00CD50BF" w:rsidRPr="00F8433E" w14:paraId="7CA60844" w14:textId="77777777" w:rsidTr="00A95B0D">
        <w:tc>
          <w:tcPr>
            <w:tcW w:w="2376" w:type="dxa"/>
          </w:tcPr>
          <w:p w14:paraId="3529DE9C" w14:textId="77777777" w:rsidR="00CD50BF" w:rsidRDefault="00CD50BF" w:rsidP="00A95B0D">
            <w:r>
              <w:t>Year 1</w:t>
            </w:r>
          </w:p>
        </w:tc>
        <w:tc>
          <w:tcPr>
            <w:tcW w:w="1985" w:type="dxa"/>
          </w:tcPr>
          <w:p w14:paraId="224DC4CA" w14:textId="77777777" w:rsidR="00CD50BF" w:rsidRPr="00C32B75" w:rsidRDefault="00CD50BF" w:rsidP="00A95B0D">
            <w:pPr>
              <w:rPr>
                <w:b/>
                <w:color w:val="0000CC"/>
              </w:rPr>
            </w:pPr>
            <w:r w:rsidRPr="00E55EE2">
              <w:rPr>
                <w:b/>
                <w:color w:val="0000CC"/>
                <w:highlight w:val="yellow"/>
              </w:rPr>
              <w:t>61</w:t>
            </w:r>
            <w:r>
              <w:rPr>
                <w:b/>
                <w:color w:val="0000CC"/>
              </w:rPr>
              <w:t xml:space="preserve"> </w:t>
            </w:r>
          </w:p>
        </w:tc>
        <w:tc>
          <w:tcPr>
            <w:tcW w:w="1701" w:type="dxa"/>
          </w:tcPr>
          <w:p w14:paraId="1C83431D" w14:textId="77777777" w:rsidR="00CD50BF" w:rsidRPr="00B34108" w:rsidRDefault="00CD50BF" w:rsidP="00A95B0D">
            <w:pPr>
              <w:rPr>
                <w:b/>
                <w:color w:val="0000CC"/>
              </w:rPr>
            </w:pPr>
            <w:r w:rsidRPr="00E55EE2">
              <w:rPr>
                <w:b/>
                <w:color w:val="FFFFFF" w:themeColor="background1"/>
                <w:highlight w:val="darkMagenta"/>
              </w:rPr>
              <w:t>92</w:t>
            </w:r>
            <w:r w:rsidRPr="00E55EE2">
              <w:rPr>
                <w:b/>
                <w:color w:val="FFFFFF" w:themeColor="background1"/>
              </w:rPr>
              <w:t xml:space="preserve">  </w:t>
            </w:r>
            <w:r>
              <w:rPr>
                <w:b/>
                <w:color w:val="0000CC"/>
              </w:rPr>
              <w:t xml:space="preserve">  </w:t>
            </w:r>
          </w:p>
        </w:tc>
        <w:tc>
          <w:tcPr>
            <w:tcW w:w="1701" w:type="dxa"/>
          </w:tcPr>
          <w:p w14:paraId="72B27F2E" w14:textId="77777777" w:rsidR="00CD50BF" w:rsidRPr="00F8433E" w:rsidRDefault="00CD50BF" w:rsidP="00A95B0D">
            <w:pPr>
              <w:rPr>
                <w:b/>
                <w:color w:val="0000CC"/>
              </w:rPr>
            </w:pPr>
            <w:r w:rsidRPr="00E55EE2">
              <w:rPr>
                <w:b/>
                <w:highlight w:val="magenta"/>
              </w:rPr>
              <w:t>83</w:t>
            </w:r>
          </w:p>
        </w:tc>
        <w:tc>
          <w:tcPr>
            <w:tcW w:w="1984" w:type="dxa"/>
          </w:tcPr>
          <w:p w14:paraId="44C60B23" w14:textId="77777777" w:rsidR="00CD50BF" w:rsidRPr="00F8433E" w:rsidRDefault="00CD50BF" w:rsidP="00A95B0D">
            <w:pPr>
              <w:rPr>
                <w:b/>
                <w:color w:val="0000CC"/>
              </w:rPr>
            </w:pPr>
            <w:r>
              <w:rPr>
                <w:b/>
                <w:color w:val="0000CC"/>
              </w:rPr>
              <w:t xml:space="preserve">90: </w:t>
            </w:r>
          </w:p>
        </w:tc>
      </w:tr>
      <w:tr w:rsidR="00CD50BF" w:rsidRPr="00F8433E" w14:paraId="28B02437" w14:textId="77777777" w:rsidTr="00A95B0D">
        <w:tc>
          <w:tcPr>
            <w:tcW w:w="2376" w:type="dxa"/>
          </w:tcPr>
          <w:p w14:paraId="08980EA5" w14:textId="77777777" w:rsidR="00CD50BF" w:rsidRDefault="00CD50BF" w:rsidP="00A95B0D">
            <w:r>
              <w:t>Year 2</w:t>
            </w:r>
          </w:p>
        </w:tc>
        <w:tc>
          <w:tcPr>
            <w:tcW w:w="1985" w:type="dxa"/>
          </w:tcPr>
          <w:p w14:paraId="4C767FD2" w14:textId="77777777" w:rsidR="00CD50BF" w:rsidRPr="00C32B75" w:rsidRDefault="00CD50BF" w:rsidP="00A95B0D">
            <w:pPr>
              <w:rPr>
                <w:b/>
                <w:color w:val="0000CC"/>
              </w:rPr>
            </w:pPr>
            <w:r w:rsidRPr="00E55EE2">
              <w:rPr>
                <w:b/>
                <w:color w:val="0000CC"/>
                <w:highlight w:val="green"/>
              </w:rPr>
              <w:t>88</w:t>
            </w:r>
            <w:r>
              <w:rPr>
                <w:b/>
                <w:color w:val="0000CC"/>
              </w:rPr>
              <w:t xml:space="preserve"> </w:t>
            </w:r>
          </w:p>
        </w:tc>
        <w:tc>
          <w:tcPr>
            <w:tcW w:w="1701" w:type="dxa"/>
          </w:tcPr>
          <w:p w14:paraId="791277BF" w14:textId="77777777" w:rsidR="00CD50BF" w:rsidRPr="00B34108" w:rsidRDefault="00CD50BF" w:rsidP="00A95B0D">
            <w:pPr>
              <w:rPr>
                <w:b/>
              </w:rPr>
            </w:pPr>
            <w:r w:rsidRPr="00E55EE2">
              <w:rPr>
                <w:b/>
                <w:color w:val="0000CC"/>
                <w:highlight w:val="yellow"/>
              </w:rPr>
              <w:t>79</w:t>
            </w:r>
            <w:r>
              <w:rPr>
                <w:b/>
                <w:color w:val="0000CC"/>
              </w:rPr>
              <w:t xml:space="preserve">    </w:t>
            </w:r>
          </w:p>
        </w:tc>
        <w:tc>
          <w:tcPr>
            <w:tcW w:w="1701" w:type="dxa"/>
          </w:tcPr>
          <w:p w14:paraId="5488E022" w14:textId="77777777" w:rsidR="00CD50BF" w:rsidRPr="00F8433E" w:rsidRDefault="00CD50BF" w:rsidP="00A95B0D">
            <w:pPr>
              <w:rPr>
                <w:b/>
                <w:color w:val="0000CC"/>
              </w:rPr>
            </w:pPr>
            <w:r w:rsidRPr="00E55EE2">
              <w:rPr>
                <w:b/>
                <w:color w:val="FFFFFF" w:themeColor="background1"/>
                <w:highlight w:val="darkMagenta"/>
              </w:rPr>
              <w:t>79</w:t>
            </w:r>
          </w:p>
        </w:tc>
        <w:tc>
          <w:tcPr>
            <w:tcW w:w="1984" w:type="dxa"/>
          </w:tcPr>
          <w:p w14:paraId="220B5B09" w14:textId="77777777" w:rsidR="00CD50BF" w:rsidRPr="00F8433E" w:rsidRDefault="00CD50BF" w:rsidP="00A95B0D">
            <w:pPr>
              <w:rPr>
                <w:b/>
                <w:color w:val="0000CC"/>
              </w:rPr>
            </w:pPr>
            <w:r w:rsidRPr="00E55EE2">
              <w:rPr>
                <w:b/>
                <w:highlight w:val="magenta"/>
              </w:rPr>
              <w:t>80:</w:t>
            </w:r>
            <w:r>
              <w:rPr>
                <w:b/>
                <w:color w:val="0000CC"/>
              </w:rPr>
              <w:t xml:space="preserve"> </w:t>
            </w:r>
          </w:p>
        </w:tc>
      </w:tr>
      <w:tr w:rsidR="00CD50BF" w:rsidRPr="00F8433E" w14:paraId="2DF4BF5A" w14:textId="77777777" w:rsidTr="00A95B0D">
        <w:tc>
          <w:tcPr>
            <w:tcW w:w="2376" w:type="dxa"/>
          </w:tcPr>
          <w:p w14:paraId="086A1173" w14:textId="77777777" w:rsidR="00CD50BF" w:rsidRDefault="00CD50BF" w:rsidP="00A95B0D">
            <w:r>
              <w:t>Year 3</w:t>
            </w:r>
          </w:p>
        </w:tc>
        <w:tc>
          <w:tcPr>
            <w:tcW w:w="1985" w:type="dxa"/>
          </w:tcPr>
          <w:p w14:paraId="682C167B" w14:textId="77777777" w:rsidR="00CD50BF" w:rsidRPr="00F20845" w:rsidRDefault="00CD50BF" w:rsidP="00A95B0D">
            <w:pPr>
              <w:rPr>
                <w:b/>
              </w:rPr>
            </w:pPr>
            <w:r w:rsidRPr="00E55EE2">
              <w:rPr>
                <w:b/>
                <w:color w:val="0000CC"/>
                <w:highlight w:val="cyan"/>
              </w:rPr>
              <w:t>96</w:t>
            </w:r>
            <w:r>
              <w:rPr>
                <w:b/>
                <w:color w:val="0000CC"/>
              </w:rPr>
              <w:t xml:space="preserve"> </w:t>
            </w:r>
          </w:p>
        </w:tc>
        <w:tc>
          <w:tcPr>
            <w:tcW w:w="1701" w:type="dxa"/>
          </w:tcPr>
          <w:p w14:paraId="7E67653D" w14:textId="77777777" w:rsidR="00CD50BF" w:rsidRPr="00B34108" w:rsidRDefault="00CD50BF" w:rsidP="00A95B0D">
            <w:pPr>
              <w:rPr>
                <w:b/>
              </w:rPr>
            </w:pPr>
            <w:r w:rsidRPr="00E55EE2">
              <w:rPr>
                <w:b/>
                <w:color w:val="0000CC"/>
                <w:highlight w:val="green"/>
              </w:rPr>
              <w:t>93</w:t>
            </w:r>
            <w:r>
              <w:rPr>
                <w:b/>
                <w:color w:val="0000CC"/>
              </w:rPr>
              <w:t xml:space="preserve">   </w:t>
            </w:r>
          </w:p>
        </w:tc>
        <w:tc>
          <w:tcPr>
            <w:tcW w:w="1701" w:type="dxa"/>
          </w:tcPr>
          <w:p w14:paraId="5FA3DF54" w14:textId="77777777" w:rsidR="00CD50BF" w:rsidRPr="00E55EE2" w:rsidRDefault="00CD50BF" w:rsidP="00A95B0D">
            <w:pPr>
              <w:rPr>
                <w:b/>
                <w:color w:val="0000CC"/>
                <w:highlight w:val="yellow"/>
              </w:rPr>
            </w:pPr>
            <w:r w:rsidRPr="00E55EE2">
              <w:rPr>
                <w:b/>
                <w:color w:val="0000CC"/>
                <w:highlight w:val="yellow"/>
              </w:rPr>
              <w:t>88</w:t>
            </w:r>
          </w:p>
        </w:tc>
        <w:tc>
          <w:tcPr>
            <w:tcW w:w="1984" w:type="dxa"/>
          </w:tcPr>
          <w:p w14:paraId="2CBB7142" w14:textId="77777777" w:rsidR="00CD50BF" w:rsidRPr="00F8433E" w:rsidRDefault="00CD50BF" w:rsidP="00A95B0D">
            <w:pPr>
              <w:rPr>
                <w:b/>
                <w:color w:val="0000CC"/>
              </w:rPr>
            </w:pPr>
            <w:r w:rsidRPr="00E55EE2">
              <w:rPr>
                <w:b/>
                <w:color w:val="FFFFFF" w:themeColor="background1"/>
                <w:highlight w:val="darkMagenta"/>
              </w:rPr>
              <w:t>94:</w:t>
            </w:r>
            <w:r w:rsidRPr="00E55EE2">
              <w:rPr>
                <w:b/>
                <w:color w:val="FFFFFF" w:themeColor="background1"/>
              </w:rPr>
              <w:t xml:space="preserve"> </w:t>
            </w:r>
          </w:p>
        </w:tc>
      </w:tr>
      <w:tr w:rsidR="00CD50BF" w:rsidRPr="00F8433E" w14:paraId="68B88EC3" w14:textId="77777777" w:rsidTr="00A95B0D">
        <w:tc>
          <w:tcPr>
            <w:tcW w:w="2376" w:type="dxa"/>
          </w:tcPr>
          <w:p w14:paraId="215DB963" w14:textId="77777777" w:rsidR="00CD50BF" w:rsidRDefault="00CD50BF" w:rsidP="00A95B0D">
            <w:r>
              <w:t>Year 4</w:t>
            </w:r>
          </w:p>
        </w:tc>
        <w:tc>
          <w:tcPr>
            <w:tcW w:w="1985" w:type="dxa"/>
          </w:tcPr>
          <w:p w14:paraId="239DCEB4" w14:textId="77777777" w:rsidR="00CD50BF" w:rsidRPr="00F20845" w:rsidRDefault="00CD50BF" w:rsidP="00A95B0D">
            <w:pPr>
              <w:rPr>
                <w:b/>
              </w:rPr>
            </w:pPr>
            <w:r w:rsidRPr="00E55EE2">
              <w:rPr>
                <w:b/>
                <w:color w:val="0000CC"/>
                <w:highlight w:val="lightGray"/>
              </w:rPr>
              <w:t>96</w:t>
            </w:r>
            <w:r w:rsidRPr="00F20845">
              <w:rPr>
                <w:b/>
                <w:color w:val="0000CC"/>
              </w:rPr>
              <w:t xml:space="preserve"> </w:t>
            </w:r>
          </w:p>
        </w:tc>
        <w:tc>
          <w:tcPr>
            <w:tcW w:w="1701" w:type="dxa"/>
          </w:tcPr>
          <w:p w14:paraId="780F8AA8" w14:textId="77777777" w:rsidR="00CD50BF" w:rsidRPr="00F8433E" w:rsidRDefault="00CD50BF" w:rsidP="00A95B0D">
            <w:pPr>
              <w:rPr>
                <w:b/>
                <w:color w:val="0000CC"/>
              </w:rPr>
            </w:pPr>
            <w:r w:rsidRPr="00E55EE2">
              <w:rPr>
                <w:b/>
                <w:color w:val="0000CC"/>
                <w:highlight w:val="cyan"/>
              </w:rPr>
              <w:t>92</w:t>
            </w:r>
            <w:r>
              <w:rPr>
                <w:b/>
                <w:color w:val="0000CC"/>
              </w:rPr>
              <w:t xml:space="preserve">   </w:t>
            </w:r>
          </w:p>
        </w:tc>
        <w:tc>
          <w:tcPr>
            <w:tcW w:w="1701" w:type="dxa"/>
          </w:tcPr>
          <w:p w14:paraId="074742E0" w14:textId="77777777" w:rsidR="00CD50BF" w:rsidRPr="00F8433E" w:rsidRDefault="00CD50BF" w:rsidP="00A95B0D">
            <w:pPr>
              <w:rPr>
                <w:b/>
                <w:color w:val="0000CC"/>
              </w:rPr>
            </w:pPr>
            <w:r w:rsidRPr="00E55EE2">
              <w:rPr>
                <w:b/>
                <w:color w:val="0000CC"/>
                <w:highlight w:val="green"/>
              </w:rPr>
              <w:t>93</w:t>
            </w:r>
          </w:p>
        </w:tc>
        <w:tc>
          <w:tcPr>
            <w:tcW w:w="1984" w:type="dxa"/>
          </w:tcPr>
          <w:p w14:paraId="53DD37F5" w14:textId="77777777" w:rsidR="00CD50BF" w:rsidRPr="00F8433E" w:rsidRDefault="00CD50BF" w:rsidP="00A95B0D">
            <w:pPr>
              <w:rPr>
                <w:b/>
                <w:color w:val="0000CC"/>
              </w:rPr>
            </w:pPr>
            <w:r w:rsidRPr="00E55EE2">
              <w:rPr>
                <w:b/>
                <w:color w:val="0000CC"/>
                <w:highlight w:val="yellow"/>
              </w:rPr>
              <w:t>95:</w:t>
            </w:r>
            <w:r>
              <w:rPr>
                <w:b/>
                <w:color w:val="0000CC"/>
              </w:rPr>
              <w:t xml:space="preserve"> </w:t>
            </w:r>
          </w:p>
        </w:tc>
      </w:tr>
      <w:tr w:rsidR="00CD50BF" w:rsidRPr="00F8433E" w14:paraId="5EDF361A" w14:textId="77777777" w:rsidTr="00A95B0D">
        <w:tc>
          <w:tcPr>
            <w:tcW w:w="2376" w:type="dxa"/>
          </w:tcPr>
          <w:p w14:paraId="0B49CA1A" w14:textId="77777777" w:rsidR="00CD50BF" w:rsidRDefault="00CD50BF" w:rsidP="00A95B0D">
            <w:r>
              <w:t>Year 5</w:t>
            </w:r>
          </w:p>
        </w:tc>
        <w:tc>
          <w:tcPr>
            <w:tcW w:w="1985" w:type="dxa"/>
          </w:tcPr>
          <w:p w14:paraId="28DAF335" w14:textId="77777777" w:rsidR="00CD50BF" w:rsidRPr="00440AF6" w:rsidRDefault="00CD50BF" w:rsidP="00A95B0D">
            <w:pPr>
              <w:rPr>
                <w:b/>
              </w:rPr>
            </w:pPr>
            <w:r w:rsidRPr="00E55EE2">
              <w:rPr>
                <w:b/>
                <w:highlight w:val="magenta"/>
              </w:rPr>
              <w:t>100</w:t>
            </w:r>
            <w:r w:rsidRPr="00E55EE2">
              <w:rPr>
                <w:b/>
              </w:rPr>
              <w:t xml:space="preserve"> </w:t>
            </w:r>
          </w:p>
        </w:tc>
        <w:tc>
          <w:tcPr>
            <w:tcW w:w="1701" w:type="dxa"/>
          </w:tcPr>
          <w:p w14:paraId="72B0EEB9" w14:textId="77777777" w:rsidR="00CD50BF" w:rsidRPr="00F8433E" w:rsidRDefault="00CD50BF" w:rsidP="00A95B0D">
            <w:pPr>
              <w:rPr>
                <w:b/>
              </w:rPr>
            </w:pPr>
            <w:r w:rsidRPr="00E55EE2">
              <w:rPr>
                <w:b/>
                <w:color w:val="0000CC"/>
                <w:highlight w:val="lightGray"/>
              </w:rPr>
              <w:t>98</w:t>
            </w:r>
            <w:r>
              <w:rPr>
                <w:b/>
                <w:color w:val="0000CC"/>
              </w:rPr>
              <w:t xml:space="preserve">   </w:t>
            </w:r>
          </w:p>
        </w:tc>
        <w:tc>
          <w:tcPr>
            <w:tcW w:w="1701" w:type="dxa"/>
          </w:tcPr>
          <w:p w14:paraId="08C33170" w14:textId="77777777" w:rsidR="00CD50BF" w:rsidRPr="00F8433E" w:rsidRDefault="00CD50BF" w:rsidP="00A95B0D">
            <w:pPr>
              <w:rPr>
                <w:b/>
                <w:color w:val="0000CC"/>
              </w:rPr>
            </w:pPr>
            <w:r w:rsidRPr="00E55EE2">
              <w:rPr>
                <w:b/>
                <w:color w:val="0000CC"/>
                <w:highlight w:val="cyan"/>
              </w:rPr>
              <w:t>93</w:t>
            </w:r>
          </w:p>
        </w:tc>
        <w:tc>
          <w:tcPr>
            <w:tcW w:w="1984" w:type="dxa"/>
          </w:tcPr>
          <w:p w14:paraId="434C3D79" w14:textId="77777777" w:rsidR="00CD50BF" w:rsidRPr="00F8433E" w:rsidRDefault="00CD50BF" w:rsidP="00A95B0D">
            <w:pPr>
              <w:rPr>
                <w:b/>
                <w:color w:val="0000CC"/>
              </w:rPr>
            </w:pPr>
            <w:r w:rsidRPr="00E55EE2">
              <w:rPr>
                <w:b/>
                <w:color w:val="0000CC"/>
                <w:highlight w:val="green"/>
              </w:rPr>
              <w:t>96:</w:t>
            </w:r>
            <w:r>
              <w:rPr>
                <w:b/>
                <w:color w:val="0000CC"/>
              </w:rPr>
              <w:t xml:space="preserve"> </w:t>
            </w:r>
          </w:p>
        </w:tc>
      </w:tr>
      <w:tr w:rsidR="00CD50BF" w:rsidRPr="00F8433E" w14:paraId="7EAB3C24" w14:textId="77777777" w:rsidTr="00A95B0D">
        <w:tc>
          <w:tcPr>
            <w:tcW w:w="2376" w:type="dxa"/>
          </w:tcPr>
          <w:p w14:paraId="342B79E8" w14:textId="77777777" w:rsidR="00CD50BF" w:rsidRDefault="00CD50BF" w:rsidP="00A95B0D">
            <w:r>
              <w:t>Year 6</w:t>
            </w:r>
          </w:p>
        </w:tc>
        <w:tc>
          <w:tcPr>
            <w:tcW w:w="1985" w:type="dxa"/>
          </w:tcPr>
          <w:p w14:paraId="02F099CB" w14:textId="77777777" w:rsidR="00CD50BF" w:rsidRPr="00440AF6" w:rsidRDefault="00CD50BF" w:rsidP="00A95B0D">
            <w:pPr>
              <w:rPr>
                <w:b/>
              </w:rPr>
            </w:pPr>
            <w:r w:rsidRPr="00E55EE2">
              <w:rPr>
                <w:b/>
                <w:color w:val="FFFFFF" w:themeColor="background1"/>
                <w:highlight w:val="darkGreen"/>
              </w:rPr>
              <w:t>80</w:t>
            </w:r>
            <w:r w:rsidRPr="00E55EE2">
              <w:rPr>
                <w:b/>
                <w:color w:val="FFFFFF" w:themeColor="background1"/>
              </w:rPr>
              <w:t xml:space="preserve"> </w:t>
            </w:r>
          </w:p>
        </w:tc>
        <w:tc>
          <w:tcPr>
            <w:tcW w:w="1701" w:type="dxa"/>
          </w:tcPr>
          <w:p w14:paraId="6348B26C" w14:textId="77777777" w:rsidR="00CD50BF" w:rsidRPr="00F8433E" w:rsidRDefault="00CD50BF" w:rsidP="00A95B0D">
            <w:pPr>
              <w:rPr>
                <w:b/>
              </w:rPr>
            </w:pPr>
            <w:r w:rsidRPr="00E55EE2">
              <w:rPr>
                <w:b/>
                <w:highlight w:val="magenta"/>
              </w:rPr>
              <w:t>100</w:t>
            </w:r>
            <w:r w:rsidRPr="00E55EE2">
              <w:rPr>
                <w:b/>
              </w:rPr>
              <w:t xml:space="preserve"> </w:t>
            </w:r>
          </w:p>
        </w:tc>
        <w:tc>
          <w:tcPr>
            <w:tcW w:w="1701" w:type="dxa"/>
          </w:tcPr>
          <w:p w14:paraId="76F1C37B" w14:textId="77777777" w:rsidR="00CD50BF" w:rsidRPr="00F8433E" w:rsidRDefault="00CD50BF" w:rsidP="00A95B0D">
            <w:pPr>
              <w:rPr>
                <w:b/>
                <w:color w:val="0000CC"/>
              </w:rPr>
            </w:pPr>
            <w:r w:rsidRPr="00E55EE2">
              <w:rPr>
                <w:b/>
                <w:color w:val="0000CC"/>
                <w:highlight w:val="lightGray"/>
              </w:rPr>
              <w:t>98</w:t>
            </w:r>
          </w:p>
        </w:tc>
        <w:tc>
          <w:tcPr>
            <w:tcW w:w="1984" w:type="dxa"/>
          </w:tcPr>
          <w:p w14:paraId="33E54C42" w14:textId="77777777" w:rsidR="00CD50BF" w:rsidRPr="00F8433E" w:rsidRDefault="00CD50BF" w:rsidP="00A95B0D">
            <w:pPr>
              <w:rPr>
                <w:b/>
                <w:color w:val="0000CC"/>
              </w:rPr>
            </w:pPr>
            <w:r w:rsidRPr="00E55EE2">
              <w:rPr>
                <w:b/>
                <w:color w:val="0000CC"/>
                <w:highlight w:val="cyan"/>
              </w:rPr>
              <w:t>98:</w:t>
            </w:r>
            <w:r>
              <w:rPr>
                <w:b/>
                <w:color w:val="0000CC"/>
              </w:rPr>
              <w:t xml:space="preserve"> </w:t>
            </w:r>
          </w:p>
        </w:tc>
      </w:tr>
      <w:tr w:rsidR="00CD50BF" w:rsidRPr="00F8433E" w14:paraId="22460F3B" w14:textId="77777777" w:rsidTr="00A95B0D">
        <w:tc>
          <w:tcPr>
            <w:tcW w:w="2376" w:type="dxa"/>
          </w:tcPr>
          <w:p w14:paraId="0A2F2BD0" w14:textId="77777777" w:rsidR="00CD50BF" w:rsidRDefault="00CD50BF" w:rsidP="00A95B0D">
            <w:r>
              <w:t>Year 7</w:t>
            </w:r>
          </w:p>
        </w:tc>
        <w:tc>
          <w:tcPr>
            <w:tcW w:w="1985" w:type="dxa"/>
          </w:tcPr>
          <w:p w14:paraId="4EB0926B" w14:textId="77777777" w:rsidR="00CD50BF" w:rsidRPr="00715008" w:rsidRDefault="00CD50BF" w:rsidP="00A95B0D">
            <w:pPr>
              <w:rPr>
                <w:b/>
                <w:color w:val="0000CC"/>
              </w:rPr>
            </w:pPr>
            <w:r>
              <w:rPr>
                <w:b/>
                <w:color w:val="0000CC"/>
              </w:rPr>
              <w:t xml:space="preserve">78 </w:t>
            </w:r>
          </w:p>
        </w:tc>
        <w:tc>
          <w:tcPr>
            <w:tcW w:w="1701" w:type="dxa"/>
          </w:tcPr>
          <w:p w14:paraId="66EDF420" w14:textId="77777777" w:rsidR="00CD50BF" w:rsidRPr="00F8433E" w:rsidRDefault="00CD50BF" w:rsidP="00A95B0D">
            <w:pPr>
              <w:rPr>
                <w:b/>
              </w:rPr>
            </w:pPr>
            <w:r w:rsidRPr="00E55EE2">
              <w:rPr>
                <w:b/>
                <w:color w:val="FFFFFF" w:themeColor="background1"/>
                <w:highlight w:val="darkGreen"/>
              </w:rPr>
              <w:t>86</w:t>
            </w:r>
            <w:r w:rsidRPr="00E55EE2">
              <w:rPr>
                <w:b/>
                <w:color w:val="FFFFFF" w:themeColor="background1"/>
              </w:rPr>
              <w:t xml:space="preserve">   </w:t>
            </w:r>
          </w:p>
        </w:tc>
        <w:tc>
          <w:tcPr>
            <w:tcW w:w="1701" w:type="dxa"/>
          </w:tcPr>
          <w:p w14:paraId="51BB66FC" w14:textId="77777777" w:rsidR="00CD50BF" w:rsidRPr="00F8433E" w:rsidRDefault="00CD50BF" w:rsidP="00A95B0D">
            <w:pPr>
              <w:rPr>
                <w:b/>
                <w:color w:val="0000CC"/>
              </w:rPr>
            </w:pPr>
            <w:r w:rsidRPr="00E55EE2">
              <w:rPr>
                <w:b/>
                <w:highlight w:val="magenta"/>
              </w:rPr>
              <w:t>100</w:t>
            </w:r>
          </w:p>
        </w:tc>
        <w:tc>
          <w:tcPr>
            <w:tcW w:w="1984" w:type="dxa"/>
          </w:tcPr>
          <w:p w14:paraId="1D6AB8F3" w14:textId="77777777" w:rsidR="00CD50BF" w:rsidRPr="00F8433E" w:rsidRDefault="00CD50BF" w:rsidP="00A95B0D">
            <w:pPr>
              <w:rPr>
                <w:b/>
                <w:color w:val="0000CC"/>
              </w:rPr>
            </w:pPr>
            <w:r w:rsidRPr="00E55EE2">
              <w:rPr>
                <w:b/>
                <w:color w:val="0000CC"/>
                <w:highlight w:val="lightGray"/>
              </w:rPr>
              <w:t>96:</w:t>
            </w:r>
            <w:r>
              <w:rPr>
                <w:b/>
                <w:color w:val="0000CC"/>
              </w:rPr>
              <w:t xml:space="preserve"> </w:t>
            </w:r>
          </w:p>
        </w:tc>
      </w:tr>
      <w:tr w:rsidR="00CD50BF" w:rsidRPr="00F8433E" w14:paraId="3EBBC6B4" w14:textId="77777777" w:rsidTr="00A95B0D">
        <w:tc>
          <w:tcPr>
            <w:tcW w:w="2376" w:type="dxa"/>
          </w:tcPr>
          <w:p w14:paraId="74C312D0" w14:textId="77777777" w:rsidR="00CD50BF" w:rsidRDefault="00CD50BF" w:rsidP="00A95B0D">
            <w:r>
              <w:t>Year 8</w:t>
            </w:r>
          </w:p>
        </w:tc>
        <w:tc>
          <w:tcPr>
            <w:tcW w:w="1985" w:type="dxa"/>
          </w:tcPr>
          <w:p w14:paraId="7AB5A13B" w14:textId="77777777" w:rsidR="00CD50BF" w:rsidRPr="00715008" w:rsidRDefault="00CD50BF" w:rsidP="00A95B0D">
            <w:pPr>
              <w:rPr>
                <w:b/>
                <w:color w:val="0000CC"/>
              </w:rPr>
            </w:pPr>
            <w:r>
              <w:rPr>
                <w:b/>
                <w:color w:val="0000CC"/>
              </w:rPr>
              <w:t xml:space="preserve">88 </w:t>
            </w:r>
          </w:p>
        </w:tc>
        <w:tc>
          <w:tcPr>
            <w:tcW w:w="1701" w:type="dxa"/>
          </w:tcPr>
          <w:p w14:paraId="24F75563" w14:textId="77777777" w:rsidR="00CD50BF" w:rsidRPr="00F8433E" w:rsidRDefault="00CD50BF" w:rsidP="00A95B0D">
            <w:pPr>
              <w:rPr>
                <w:b/>
              </w:rPr>
            </w:pPr>
            <w:r>
              <w:rPr>
                <w:b/>
                <w:color w:val="0000CC"/>
              </w:rPr>
              <w:t xml:space="preserve">76   </w:t>
            </w:r>
          </w:p>
        </w:tc>
        <w:tc>
          <w:tcPr>
            <w:tcW w:w="1701" w:type="dxa"/>
          </w:tcPr>
          <w:p w14:paraId="3F9381AB" w14:textId="77777777" w:rsidR="00CD50BF" w:rsidRPr="00E55EE2" w:rsidRDefault="00CD50BF" w:rsidP="00A95B0D">
            <w:pPr>
              <w:rPr>
                <w:b/>
                <w:color w:val="FFFFFF" w:themeColor="background1"/>
              </w:rPr>
            </w:pPr>
            <w:r w:rsidRPr="00E55EE2">
              <w:rPr>
                <w:b/>
                <w:color w:val="FFFFFF" w:themeColor="background1"/>
                <w:highlight w:val="darkGreen"/>
              </w:rPr>
              <w:t>73</w:t>
            </w:r>
          </w:p>
        </w:tc>
        <w:tc>
          <w:tcPr>
            <w:tcW w:w="1984" w:type="dxa"/>
          </w:tcPr>
          <w:p w14:paraId="18E25AA2" w14:textId="77777777" w:rsidR="00CD50BF" w:rsidRPr="00F8433E" w:rsidRDefault="00CD50BF" w:rsidP="00A95B0D">
            <w:pPr>
              <w:rPr>
                <w:b/>
                <w:color w:val="0000CC"/>
              </w:rPr>
            </w:pPr>
            <w:r w:rsidRPr="00E55EE2">
              <w:rPr>
                <w:b/>
                <w:highlight w:val="magenta"/>
              </w:rPr>
              <w:t>100:</w:t>
            </w:r>
            <w:r w:rsidRPr="00E55EE2">
              <w:rPr>
                <w:b/>
              </w:rPr>
              <w:t xml:space="preserve"> </w:t>
            </w:r>
          </w:p>
        </w:tc>
      </w:tr>
    </w:tbl>
    <w:p w14:paraId="44C2B6AA" w14:textId="77777777" w:rsidR="00CD50BF" w:rsidRDefault="00CD50BF" w:rsidP="00CD50BF"/>
    <w:tbl>
      <w:tblPr>
        <w:tblStyle w:val="TableGrid"/>
        <w:tblW w:w="0" w:type="auto"/>
        <w:tblLayout w:type="fixed"/>
        <w:tblLook w:val="04A0" w:firstRow="1" w:lastRow="0" w:firstColumn="1" w:lastColumn="0" w:noHBand="0" w:noVBand="1"/>
      </w:tblPr>
      <w:tblGrid>
        <w:gridCol w:w="2376"/>
        <w:gridCol w:w="1985"/>
        <w:gridCol w:w="1701"/>
        <w:gridCol w:w="1701"/>
        <w:gridCol w:w="1984"/>
      </w:tblGrid>
      <w:tr w:rsidR="00CD50BF" w14:paraId="6CFE4307" w14:textId="77777777" w:rsidTr="00A95B0D">
        <w:tc>
          <w:tcPr>
            <w:tcW w:w="2376" w:type="dxa"/>
          </w:tcPr>
          <w:p w14:paraId="7CE67856" w14:textId="77777777" w:rsidR="00CD50BF" w:rsidRDefault="00CD50BF" w:rsidP="00A95B0D">
            <w:r>
              <w:lastRenderedPageBreak/>
              <w:t xml:space="preserve">Whole school  </w:t>
            </w:r>
            <w:r w:rsidRPr="00DC56C7">
              <w:rPr>
                <w:b/>
                <w:i/>
              </w:rPr>
              <w:t>at</w:t>
            </w:r>
            <w:r>
              <w:t xml:space="preserve"> or </w:t>
            </w:r>
            <w:r w:rsidRPr="00DC56C7">
              <w:rPr>
                <w:b/>
                <w:i/>
              </w:rPr>
              <w:t>above</w:t>
            </w:r>
            <w:r>
              <w:t xml:space="preserve"> </w:t>
            </w:r>
          </w:p>
          <w:p w14:paraId="30A3809E" w14:textId="77777777" w:rsidR="00CD50BF" w:rsidRPr="00AD3E37" w:rsidRDefault="00CD50BF" w:rsidP="00A95B0D">
            <w:pPr>
              <w:rPr>
                <w:b/>
                <w:color w:val="0000CC"/>
              </w:rPr>
            </w:pPr>
            <w:r>
              <w:rPr>
                <w:b/>
                <w:color w:val="0000CC"/>
              </w:rPr>
              <w:t>Reading</w:t>
            </w:r>
          </w:p>
          <w:p w14:paraId="0B89ED2A" w14:textId="77777777" w:rsidR="00CD50BF" w:rsidRPr="00881FEF" w:rsidRDefault="00CD50BF" w:rsidP="00A95B0D"/>
        </w:tc>
        <w:tc>
          <w:tcPr>
            <w:tcW w:w="1985" w:type="dxa"/>
          </w:tcPr>
          <w:p w14:paraId="455C2DD6" w14:textId="77777777" w:rsidR="00CD50BF" w:rsidRDefault="00CD50BF" w:rsidP="00A95B0D">
            <w:r>
              <w:t>2011</w:t>
            </w:r>
          </w:p>
          <w:p w14:paraId="7C5752D0" w14:textId="77777777" w:rsidR="00CD50BF" w:rsidRDefault="00CD50BF" w:rsidP="00A95B0D">
            <w:pPr>
              <w:rPr>
                <w:b/>
                <w:i/>
              </w:rPr>
            </w:pPr>
            <w:r>
              <w:t xml:space="preserve">Total </w:t>
            </w:r>
            <w:r>
              <w:rPr>
                <w:b/>
                <w:color w:val="0000CC"/>
              </w:rPr>
              <w:t>91</w:t>
            </w:r>
            <w:r w:rsidRPr="00AD3E37">
              <w:rPr>
                <w:b/>
                <w:color w:val="0000CC"/>
              </w:rPr>
              <w:t>%</w:t>
            </w:r>
            <w:r>
              <w:t xml:space="preserve"> for </w:t>
            </w:r>
            <w:r w:rsidRPr="00AD3E37">
              <w:rPr>
                <w:b/>
                <w:i/>
              </w:rPr>
              <w:t>at</w:t>
            </w:r>
            <w:r>
              <w:t xml:space="preserve"> or </w:t>
            </w:r>
            <w:r w:rsidRPr="00AD3E37">
              <w:rPr>
                <w:b/>
                <w:i/>
              </w:rPr>
              <w:t>above</w:t>
            </w:r>
            <w:r>
              <w:rPr>
                <w:b/>
                <w:i/>
              </w:rPr>
              <w:t xml:space="preserve">. </w:t>
            </w:r>
          </w:p>
          <w:p w14:paraId="3D11013B" w14:textId="77777777" w:rsidR="00CD50BF" w:rsidRPr="00E55EE2" w:rsidRDefault="00CD50BF" w:rsidP="00A95B0D">
            <w:pPr>
              <w:spacing w:line="360" w:lineRule="auto"/>
              <w:rPr>
                <w:b/>
              </w:rPr>
            </w:pPr>
            <w:r w:rsidRPr="00E55EE2">
              <w:rPr>
                <w:b/>
              </w:rPr>
              <w:t>%</w:t>
            </w:r>
          </w:p>
        </w:tc>
        <w:tc>
          <w:tcPr>
            <w:tcW w:w="1701" w:type="dxa"/>
          </w:tcPr>
          <w:p w14:paraId="5068FE16" w14:textId="77777777" w:rsidR="00CD50BF" w:rsidRDefault="00CD50BF" w:rsidP="00A95B0D">
            <w:r>
              <w:t>2012</w:t>
            </w:r>
          </w:p>
          <w:p w14:paraId="66E88109" w14:textId="77777777" w:rsidR="00CD50BF" w:rsidRDefault="00CD50BF" w:rsidP="00A95B0D">
            <w:pPr>
              <w:rPr>
                <w:b/>
                <w:i/>
              </w:rPr>
            </w:pPr>
            <w:r>
              <w:t xml:space="preserve">Total </w:t>
            </w:r>
            <w:r>
              <w:rPr>
                <w:b/>
                <w:color w:val="0000CC"/>
              </w:rPr>
              <w:t>91</w:t>
            </w:r>
            <w:r w:rsidRPr="00AD3E37">
              <w:rPr>
                <w:b/>
                <w:color w:val="0000CC"/>
              </w:rPr>
              <w:t>%</w:t>
            </w:r>
            <w:r>
              <w:t xml:space="preserve"> for </w:t>
            </w:r>
            <w:r w:rsidRPr="00AD3E37">
              <w:rPr>
                <w:b/>
                <w:i/>
              </w:rPr>
              <w:t>at</w:t>
            </w:r>
            <w:r>
              <w:t xml:space="preserve"> or </w:t>
            </w:r>
            <w:r w:rsidRPr="00AD3E37">
              <w:rPr>
                <w:b/>
                <w:i/>
              </w:rPr>
              <w:t>above</w:t>
            </w:r>
          </w:p>
          <w:p w14:paraId="00AB1775" w14:textId="77777777" w:rsidR="00CD50BF" w:rsidRPr="00E55EE2" w:rsidRDefault="00CD50BF" w:rsidP="00A95B0D">
            <w:r w:rsidRPr="00E55EE2">
              <w:rPr>
                <w:b/>
              </w:rPr>
              <w:t>%</w:t>
            </w:r>
          </w:p>
        </w:tc>
        <w:tc>
          <w:tcPr>
            <w:tcW w:w="1701" w:type="dxa"/>
          </w:tcPr>
          <w:p w14:paraId="3EAF872C" w14:textId="77777777" w:rsidR="00CD50BF" w:rsidRDefault="00CD50BF" w:rsidP="00A95B0D">
            <w:r>
              <w:t>2013</w:t>
            </w:r>
          </w:p>
          <w:p w14:paraId="6EE16824" w14:textId="77777777" w:rsidR="00CD50BF" w:rsidRDefault="00CD50BF" w:rsidP="00A95B0D">
            <w:pPr>
              <w:rPr>
                <w:b/>
                <w:i/>
              </w:rPr>
            </w:pPr>
            <w:r>
              <w:t xml:space="preserve">Total </w:t>
            </w:r>
            <w:r>
              <w:rPr>
                <w:b/>
                <w:color w:val="0000CC"/>
              </w:rPr>
              <w:t>90</w:t>
            </w:r>
            <w:r w:rsidRPr="00E55EE2">
              <w:rPr>
                <w:b/>
                <w:color w:val="0000CC"/>
              </w:rPr>
              <w:t>%</w:t>
            </w:r>
            <w:r>
              <w:t xml:space="preserve"> for </w:t>
            </w:r>
            <w:r w:rsidRPr="00AD3E37">
              <w:rPr>
                <w:b/>
                <w:i/>
              </w:rPr>
              <w:t>at</w:t>
            </w:r>
            <w:r>
              <w:t xml:space="preserve"> or </w:t>
            </w:r>
            <w:r w:rsidRPr="00AD3E37">
              <w:rPr>
                <w:b/>
                <w:i/>
              </w:rPr>
              <w:t>above</w:t>
            </w:r>
          </w:p>
          <w:p w14:paraId="58652B7B" w14:textId="77777777" w:rsidR="00CD50BF" w:rsidRPr="00E55EE2" w:rsidRDefault="00CD50BF" w:rsidP="00A95B0D">
            <w:r w:rsidRPr="00E55EE2">
              <w:rPr>
                <w:b/>
              </w:rPr>
              <w:t>%</w:t>
            </w:r>
          </w:p>
        </w:tc>
        <w:tc>
          <w:tcPr>
            <w:tcW w:w="1984" w:type="dxa"/>
          </w:tcPr>
          <w:p w14:paraId="3C41F802" w14:textId="77777777" w:rsidR="00CD50BF" w:rsidRDefault="00CD50BF" w:rsidP="00A95B0D">
            <w:r>
              <w:t>2014</w:t>
            </w:r>
          </w:p>
          <w:p w14:paraId="49D434E6" w14:textId="77777777" w:rsidR="00CD50BF" w:rsidRDefault="00CD50BF" w:rsidP="00A95B0D">
            <w:r>
              <w:t xml:space="preserve">Total </w:t>
            </w:r>
            <w:r>
              <w:rPr>
                <w:b/>
                <w:color w:val="0000CC"/>
              </w:rPr>
              <w:t>92</w:t>
            </w:r>
            <w:r w:rsidRPr="00AD3E37">
              <w:rPr>
                <w:b/>
                <w:color w:val="0000CC"/>
              </w:rPr>
              <w:t xml:space="preserve"> %</w:t>
            </w:r>
            <w:r w:rsidRPr="00AD3E37">
              <w:rPr>
                <w:color w:val="0000CC"/>
              </w:rPr>
              <w:t xml:space="preserve"> </w:t>
            </w:r>
            <w:r>
              <w:t xml:space="preserve">for </w:t>
            </w:r>
            <w:r w:rsidRPr="00AD3E37">
              <w:rPr>
                <w:b/>
                <w:i/>
              </w:rPr>
              <w:t>at</w:t>
            </w:r>
            <w:r>
              <w:t xml:space="preserve"> or </w:t>
            </w:r>
            <w:r w:rsidRPr="00AD3E37">
              <w:rPr>
                <w:b/>
                <w:i/>
              </w:rPr>
              <w:t>above</w:t>
            </w:r>
            <w:r>
              <w:t xml:space="preserve">. </w:t>
            </w:r>
            <w:r w:rsidRPr="00E55EE2">
              <w:rPr>
                <w:b/>
              </w:rPr>
              <w:t>%</w:t>
            </w:r>
          </w:p>
        </w:tc>
      </w:tr>
      <w:tr w:rsidR="00CD50BF" w:rsidRPr="00F8433E" w14:paraId="198E3B80" w14:textId="77777777" w:rsidTr="00A95B0D">
        <w:tc>
          <w:tcPr>
            <w:tcW w:w="2376" w:type="dxa"/>
          </w:tcPr>
          <w:p w14:paraId="715E5DD3" w14:textId="77777777" w:rsidR="00CD50BF" w:rsidRDefault="00CD50BF" w:rsidP="00A95B0D">
            <w:r>
              <w:t>Year 1</w:t>
            </w:r>
          </w:p>
        </w:tc>
        <w:tc>
          <w:tcPr>
            <w:tcW w:w="1985" w:type="dxa"/>
          </w:tcPr>
          <w:p w14:paraId="4C425246" w14:textId="77777777" w:rsidR="00CD50BF" w:rsidRPr="00C32B75" w:rsidRDefault="00CD50BF" w:rsidP="00A95B0D">
            <w:pPr>
              <w:rPr>
                <w:b/>
                <w:color w:val="0000CC"/>
              </w:rPr>
            </w:pPr>
            <w:r w:rsidRPr="000F48B7">
              <w:rPr>
                <w:b/>
                <w:color w:val="0000CC"/>
                <w:highlight w:val="yellow"/>
              </w:rPr>
              <w:t>77</w:t>
            </w:r>
            <w:r>
              <w:rPr>
                <w:b/>
                <w:color w:val="0000CC"/>
              </w:rPr>
              <w:t xml:space="preserve"> </w:t>
            </w:r>
          </w:p>
        </w:tc>
        <w:tc>
          <w:tcPr>
            <w:tcW w:w="1701" w:type="dxa"/>
          </w:tcPr>
          <w:p w14:paraId="275B338E" w14:textId="77777777" w:rsidR="00CD50BF" w:rsidRPr="005B19D4" w:rsidRDefault="00CD50BF" w:rsidP="00A95B0D">
            <w:pPr>
              <w:rPr>
                <w:b/>
                <w:color w:val="0000CC"/>
              </w:rPr>
            </w:pPr>
            <w:r w:rsidRPr="000F48B7">
              <w:rPr>
                <w:b/>
                <w:color w:val="0000CC"/>
                <w:highlight w:val="cyan"/>
              </w:rPr>
              <w:t>87</w:t>
            </w:r>
            <w:r>
              <w:rPr>
                <w:b/>
                <w:color w:val="0000CC"/>
              </w:rPr>
              <w:t xml:space="preserve"> </w:t>
            </w:r>
          </w:p>
        </w:tc>
        <w:tc>
          <w:tcPr>
            <w:tcW w:w="1701" w:type="dxa"/>
          </w:tcPr>
          <w:p w14:paraId="70D5862E" w14:textId="77777777" w:rsidR="00CD50BF" w:rsidRPr="005B19D4" w:rsidRDefault="00CD50BF" w:rsidP="00A95B0D">
            <w:pPr>
              <w:rPr>
                <w:b/>
                <w:color w:val="0000CC"/>
              </w:rPr>
            </w:pPr>
            <w:r w:rsidRPr="000F48B7">
              <w:rPr>
                <w:b/>
                <w:color w:val="0000CC"/>
                <w:highlight w:val="magenta"/>
              </w:rPr>
              <w:t>83</w:t>
            </w:r>
          </w:p>
        </w:tc>
        <w:tc>
          <w:tcPr>
            <w:tcW w:w="1984" w:type="dxa"/>
          </w:tcPr>
          <w:p w14:paraId="4A898A5F" w14:textId="77777777" w:rsidR="00CD50BF" w:rsidRPr="005B19D4" w:rsidRDefault="00CD50BF" w:rsidP="00A95B0D">
            <w:pPr>
              <w:rPr>
                <w:b/>
                <w:color w:val="0000CC"/>
              </w:rPr>
            </w:pPr>
            <w:r>
              <w:rPr>
                <w:b/>
                <w:color w:val="0000CC"/>
              </w:rPr>
              <w:t>88</w:t>
            </w:r>
          </w:p>
        </w:tc>
      </w:tr>
      <w:tr w:rsidR="00CD50BF" w:rsidRPr="00F8433E" w14:paraId="50BE78DE" w14:textId="77777777" w:rsidTr="00A95B0D">
        <w:tc>
          <w:tcPr>
            <w:tcW w:w="2376" w:type="dxa"/>
          </w:tcPr>
          <w:p w14:paraId="008D60F1" w14:textId="77777777" w:rsidR="00CD50BF" w:rsidRDefault="00CD50BF" w:rsidP="00A95B0D">
            <w:r>
              <w:t>Year 2</w:t>
            </w:r>
          </w:p>
        </w:tc>
        <w:tc>
          <w:tcPr>
            <w:tcW w:w="1985" w:type="dxa"/>
          </w:tcPr>
          <w:p w14:paraId="4ACC9CF2" w14:textId="77777777" w:rsidR="00CD50BF" w:rsidRPr="00C32B75" w:rsidRDefault="00CD50BF" w:rsidP="00A95B0D">
            <w:pPr>
              <w:rPr>
                <w:b/>
                <w:color w:val="0000CC"/>
              </w:rPr>
            </w:pPr>
            <w:r w:rsidRPr="000F48B7">
              <w:rPr>
                <w:b/>
                <w:color w:val="0000CC"/>
                <w:highlight w:val="green"/>
              </w:rPr>
              <w:t>100</w:t>
            </w:r>
            <w:r>
              <w:rPr>
                <w:b/>
                <w:color w:val="0000CC"/>
              </w:rPr>
              <w:t xml:space="preserve"> </w:t>
            </w:r>
          </w:p>
        </w:tc>
        <w:tc>
          <w:tcPr>
            <w:tcW w:w="1701" w:type="dxa"/>
          </w:tcPr>
          <w:p w14:paraId="26ADCDE1" w14:textId="77777777" w:rsidR="00CD50BF" w:rsidRPr="005B19D4" w:rsidRDefault="00CD50BF" w:rsidP="00A95B0D">
            <w:pPr>
              <w:rPr>
                <w:b/>
                <w:color w:val="0000CC"/>
              </w:rPr>
            </w:pPr>
            <w:r w:rsidRPr="000F48B7">
              <w:rPr>
                <w:b/>
                <w:color w:val="0000CC"/>
                <w:highlight w:val="yellow"/>
              </w:rPr>
              <w:t>91</w:t>
            </w:r>
          </w:p>
        </w:tc>
        <w:tc>
          <w:tcPr>
            <w:tcW w:w="1701" w:type="dxa"/>
          </w:tcPr>
          <w:p w14:paraId="74BFE722" w14:textId="77777777" w:rsidR="00CD50BF" w:rsidRPr="005B19D4" w:rsidRDefault="00CD50BF" w:rsidP="00A95B0D">
            <w:pPr>
              <w:rPr>
                <w:b/>
                <w:color w:val="0000CC"/>
              </w:rPr>
            </w:pPr>
            <w:r w:rsidRPr="000F48B7">
              <w:rPr>
                <w:b/>
                <w:color w:val="0000CC"/>
                <w:highlight w:val="cyan"/>
              </w:rPr>
              <w:t>93</w:t>
            </w:r>
          </w:p>
        </w:tc>
        <w:tc>
          <w:tcPr>
            <w:tcW w:w="1984" w:type="dxa"/>
          </w:tcPr>
          <w:p w14:paraId="0112FE9D" w14:textId="77777777" w:rsidR="00CD50BF" w:rsidRPr="005B19D4" w:rsidRDefault="00CD50BF" w:rsidP="00A95B0D">
            <w:pPr>
              <w:rPr>
                <w:b/>
                <w:color w:val="0000CC"/>
              </w:rPr>
            </w:pPr>
            <w:r w:rsidRPr="000F48B7">
              <w:rPr>
                <w:b/>
                <w:color w:val="0000CC"/>
                <w:highlight w:val="magenta"/>
              </w:rPr>
              <w:t>93</w:t>
            </w:r>
          </w:p>
        </w:tc>
      </w:tr>
      <w:tr w:rsidR="00CD50BF" w:rsidRPr="00F8433E" w14:paraId="6AC8EC7B" w14:textId="77777777" w:rsidTr="00A95B0D">
        <w:tc>
          <w:tcPr>
            <w:tcW w:w="2376" w:type="dxa"/>
          </w:tcPr>
          <w:p w14:paraId="362FC074" w14:textId="77777777" w:rsidR="00CD50BF" w:rsidRDefault="00CD50BF" w:rsidP="00A95B0D">
            <w:r>
              <w:t>Year 3</w:t>
            </w:r>
          </w:p>
        </w:tc>
        <w:tc>
          <w:tcPr>
            <w:tcW w:w="1985" w:type="dxa"/>
          </w:tcPr>
          <w:p w14:paraId="60F70558" w14:textId="77777777" w:rsidR="00CD50BF" w:rsidRPr="00F20845" w:rsidRDefault="00CD50BF" w:rsidP="00A95B0D">
            <w:pPr>
              <w:rPr>
                <w:b/>
              </w:rPr>
            </w:pPr>
            <w:r w:rsidRPr="000F48B7">
              <w:rPr>
                <w:b/>
                <w:color w:val="0000CC"/>
                <w:highlight w:val="magenta"/>
              </w:rPr>
              <w:t>100</w:t>
            </w:r>
          </w:p>
        </w:tc>
        <w:tc>
          <w:tcPr>
            <w:tcW w:w="1701" w:type="dxa"/>
          </w:tcPr>
          <w:p w14:paraId="7F94EDB0" w14:textId="77777777" w:rsidR="00CD50BF" w:rsidRPr="005B19D4" w:rsidRDefault="00CD50BF" w:rsidP="00A95B0D">
            <w:pPr>
              <w:rPr>
                <w:b/>
                <w:color w:val="0000CC"/>
              </w:rPr>
            </w:pPr>
            <w:r w:rsidRPr="000F48B7">
              <w:rPr>
                <w:b/>
                <w:color w:val="0000CC"/>
                <w:highlight w:val="green"/>
              </w:rPr>
              <w:t>93</w:t>
            </w:r>
            <w:r>
              <w:rPr>
                <w:b/>
                <w:color w:val="0000CC"/>
              </w:rPr>
              <w:t xml:space="preserve"> </w:t>
            </w:r>
          </w:p>
        </w:tc>
        <w:tc>
          <w:tcPr>
            <w:tcW w:w="1701" w:type="dxa"/>
          </w:tcPr>
          <w:p w14:paraId="0F6F6849" w14:textId="77777777" w:rsidR="00CD50BF" w:rsidRPr="005B19D4" w:rsidRDefault="00CD50BF" w:rsidP="00A95B0D">
            <w:pPr>
              <w:rPr>
                <w:b/>
                <w:color w:val="0000CC"/>
              </w:rPr>
            </w:pPr>
            <w:r w:rsidRPr="000F48B7">
              <w:rPr>
                <w:b/>
                <w:color w:val="0000CC"/>
                <w:highlight w:val="yellow"/>
              </w:rPr>
              <w:t>91</w:t>
            </w:r>
          </w:p>
        </w:tc>
        <w:tc>
          <w:tcPr>
            <w:tcW w:w="1984" w:type="dxa"/>
          </w:tcPr>
          <w:p w14:paraId="40006900" w14:textId="77777777" w:rsidR="00CD50BF" w:rsidRPr="005B19D4" w:rsidRDefault="00CD50BF" w:rsidP="00A95B0D">
            <w:pPr>
              <w:rPr>
                <w:b/>
                <w:color w:val="0000CC"/>
              </w:rPr>
            </w:pPr>
            <w:r w:rsidRPr="000F48B7">
              <w:rPr>
                <w:b/>
                <w:color w:val="0000CC"/>
                <w:highlight w:val="cyan"/>
              </w:rPr>
              <w:t>96</w:t>
            </w:r>
          </w:p>
        </w:tc>
      </w:tr>
      <w:tr w:rsidR="00CD50BF" w:rsidRPr="00F8433E" w14:paraId="5DFA8CC4" w14:textId="77777777" w:rsidTr="00A95B0D">
        <w:tc>
          <w:tcPr>
            <w:tcW w:w="2376" w:type="dxa"/>
          </w:tcPr>
          <w:p w14:paraId="39250F77" w14:textId="77777777" w:rsidR="00CD50BF" w:rsidRDefault="00CD50BF" w:rsidP="00A95B0D">
            <w:r>
              <w:t>Year 4</w:t>
            </w:r>
          </w:p>
        </w:tc>
        <w:tc>
          <w:tcPr>
            <w:tcW w:w="1985" w:type="dxa"/>
          </w:tcPr>
          <w:p w14:paraId="5DCF078B" w14:textId="77777777" w:rsidR="00CD50BF" w:rsidRPr="00F20845" w:rsidRDefault="00CD50BF" w:rsidP="00A95B0D">
            <w:pPr>
              <w:rPr>
                <w:b/>
              </w:rPr>
            </w:pPr>
            <w:r w:rsidRPr="000F48B7">
              <w:rPr>
                <w:b/>
                <w:color w:val="0000CC"/>
                <w:highlight w:val="cyan"/>
              </w:rPr>
              <w:t>92</w:t>
            </w:r>
            <w:r>
              <w:rPr>
                <w:b/>
                <w:color w:val="0000CC"/>
              </w:rPr>
              <w:t xml:space="preserve"> </w:t>
            </w:r>
          </w:p>
        </w:tc>
        <w:tc>
          <w:tcPr>
            <w:tcW w:w="1701" w:type="dxa"/>
          </w:tcPr>
          <w:p w14:paraId="6A614BFD" w14:textId="77777777" w:rsidR="00CD50BF" w:rsidRPr="005B19D4" w:rsidRDefault="00CD50BF" w:rsidP="00A95B0D">
            <w:pPr>
              <w:rPr>
                <w:b/>
                <w:color w:val="0000CC"/>
              </w:rPr>
            </w:pPr>
            <w:r w:rsidRPr="000F48B7">
              <w:rPr>
                <w:b/>
                <w:color w:val="0000CC"/>
                <w:highlight w:val="magenta"/>
              </w:rPr>
              <w:t>86</w:t>
            </w:r>
            <w:r>
              <w:rPr>
                <w:b/>
                <w:color w:val="0000CC"/>
              </w:rPr>
              <w:t xml:space="preserve"> </w:t>
            </w:r>
          </w:p>
        </w:tc>
        <w:tc>
          <w:tcPr>
            <w:tcW w:w="1701" w:type="dxa"/>
          </w:tcPr>
          <w:p w14:paraId="31AD29B7" w14:textId="77777777" w:rsidR="00CD50BF" w:rsidRPr="005B19D4" w:rsidRDefault="00CD50BF" w:rsidP="00A95B0D">
            <w:pPr>
              <w:rPr>
                <w:b/>
                <w:color w:val="0000CC"/>
              </w:rPr>
            </w:pPr>
            <w:r w:rsidRPr="000F48B7">
              <w:rPr>
                <w:b/>
                <w:color w:val="0000CC"/>
                <w:highlight w:val="green"/>
              </w:rPr>
              <w:t>91</w:t>
            </w:r>
          </w:p>
        </w:tc>
        <w:tc>
          <w:tcPr>
            <w:tcW w:w="1984" w:type="dxa"/>
          </w:tcPr>
          <w:p w14:paraId="5B260E2C" w14:textId="77777777" w:rsidR="00CD50BF" w:rsidRPr="005B19D4" w:rsidRDefault="00CD50BF" w:rsidP="00A95B0D">
            <w:pPr>
              <w:rPr>
                <w:b/>
                <w:color w:val="0000CC"/>
              </w:rPr>
            </w:pPr>
            <w:r w:rsidRPr="000F48B7">
              <w:rPr>
                <w:b/>
                <w:color w:val="0000CC"/>
                <w:highlight w:val="yellow"/>
              </w:rPr>
              <w:t>93</w:t>
            </w:r>
          </w:p>
        </w:tc>
      </w:tr>
      <w:tr w:rsidR="00CD50BF" w:rsidRPr="00F8433E" w14:paraId="49310023" w14:textId="77777777" w:rsidTr="00A95B0D">
        <w:tc>
          <w:tcPr>
            <w:tcW w:w="2376" w:type="dxa"/>
          </w:tcPr>
          <w:p w14:paraId="6FF732C9" w14:textId="77777777" w:rsidR="00CD50BF" w:rsidRDefault="00CD50BF" w:rsidP="00A95B0D">
            <w:r>
              <w:t>Year 5</w:t>
            </w:r>
          </w:p>
        </w:tc>
        <w:tc>
          <w:tcPr>
            <w:tcW w:w="1985" w:type="dxa"/>
          </w:tcPr>
          <w:p w14:paraId="79644553" w14:textId="77777777" w:rsidR="00CD50BF" w:rsidRPr="00440AF6" w:rsidRDefault="00CD50BF" w:rsidP="00A95B0D">
            <w:pPr>
              <w:rPr>
                <w:b/>
              </w:rPr>
            </w:pPr>
            <w:r w:rsidRPr="000F48B7">
              <w:rPr>
                <w:b/>
                <w:color w:val="0000CC"/>
                <w:highlight w:val="yellow"/>
              </w:rPr>
              <w:t>86</w:t>
            </w:r>
            <w:r>
              <w:rPr>
                <w:b/>
                <w:color w:val="0000CC"/>
              </w:rPr>
              <w:t xml:space="preserve"> </w:t>
            </w:r>
          </w:p>
        </w:tc>
        <w:tc>
          <w:tcPr>
            <w:tcW w:w="1701" w:type="dxa"/>
          </w:tcPr>
          <w:p w14:paraId="16C4682E" w14:textId="77777777" w:rsidR="00CD50BF" w:rsidRPr="005B19D4" w:rsidRDefault="00CD50BF" w:rsidP="00A95B0D">
            <w:pPr>
              <w:rPr>
                <w:b/>
                <w:color w:val="0000CC"/>
              </w:rPr>
            </w:pPr>
            <w:r w:rsidRPr="000F48B7">
              <w:rPr>
                <w:b/>
                <w:color w:val="0000CC"/>
                <w:highlight w:val="cyan"/>
              </w:rPr>
              <w:t>85</w:t>
            </w:r>
            <w:r>
              <w:rPr>
                <w:b/>
                <w:color w:val="0000CC"/>
              </w:rPr>
              <w:t xml:space="preserve"> </w:t>
            </w:r>
          </w:p>
        </w:tc>
        <w:tc>
          <w:tcPr>
            <w:tcW w:w="1701" w:type="dxa"/>
          </w:tcPr>
          <w:p w14:paraId="07DD7D43" w14:textId="77777777" w:rsidR="00CD50BF" w:rsidRPr="005B19D4" w:rsidRDefault="00CD50BF" w:rsidP="00A95B0D">
            <w:pPr>
              <w:rPr>
                <w:b/>
                <w:color w:val="0000CC"/>
              </w:rPr>
            </w:pPr>
            <w:r w:rsidRPr="000F48B7">
              <w:rPr>
                <w:b/>
                <w:color w:val="0000CC"/>
                <w:highlight w:val="magenta"/>
              </w:rPr>
              <w:t>86</w:t>
            </w:r>
          </w:p>
        </w:tc>
        <w:tc>
          <w:tcPr>
            <w:tcW w:w="1984" w:type="dxa"/>
          </w:tcPr>
          <w:p w14:paraId="571B30EE" w14:textId="77777777" w:rsidR="00CD50BF" w:rsidRPr="005B19D4" w:rsidRDefault="00CD50BF" w:rsidP="00A95B0D">
            <w:pPr>
              <w:rPr>
                <w:b/>
                <w:color w:val="0000CC"/>
              </w:rPr>
            </w:pPr>
            <w:r w:rsidRPr="000F48B7">
              <w:rPr>
                <w:b/>
                <w:color w:val="0000CC"/>
                <w:highlight w:val="green"/>
              </w:rPr>
              <w:t>86</w:t>
            </w:r>
          </w:p>
        </w:tc>
      </w:tr>
      <w:tr w:rsidR="00CD50BF" w:rsidRPr="00F8433E" w14:paraId="5A355C5F" w14:textId="77777777" w:rsidTr="00A95B0D">
        <w:tc>
          <w:tcPr>
            <w:tcW w:w="2376" w:type="dxa"/>
          </w:tcPr>
          <w:p w14:paraId="77DF2B35" w14:textId="77777777" w:rsidR="00CD50BF" w:rsidRDefault="00CD50BF" w:rsidP="00A95B0D">
            <w:r>
              <w:t>Year 6</w:t>
            </w:r>
          </w:p>
        </w:tc>
        <w:tc>
          <w:tcPr>
            <w:tcW w:w="1985" w:type="dxa"/>
          </w:tcPr>
          <w:p w14:paraId="4789910E" w14:textId="77777777" w:rsidR="00CD50BF" w:rsidRPr="00440AF6" w:rsidRDefault="00CD50BF" w:rsidP="00A95B0D">
            <w:pPr>
              <w:rPr>
                <w:b/>
              </w:rPr>
            </w:pPr>
            <w:r w:rsidRPr="000F48B7">
              <w:rPr>
                <w:b/>
                <w:color w:val="0000CC"/>
                <w:highlight w:val="green"/>
              </w:rPr>
              <w:t>86</w:t>
            </w:r>
            <w:r>
              <w:rPr>
                <w:b/>
                <w:color w:val="0000CC"/>
              </w:rPr>
              <w:t xml:space="preserve"> </w:t>
            </w:r>
          </w:p>
        </w:tc>
        <w:tc>
          <w:tcPr>
            <w:tcW w:w="1701" w:type="dxa"/>
          </w:tcPr>
          <w:p w14:paraId="038EA938" w14:textId="77777777" w:rsidR="00CD50BF" w:rsidRPr="005B19D4" w:rsidRDefault="00CD50BF" w:rsidP="00A95B0D">
            <w:pPr>
              <w:rPr>
                <w:b/>
                <w:color w:val="0000CC"/>
              </w:rPr>
            </w:pPr>
            <w:r w:rsidRPr="000F48B7">
              <w:rPr>
                <w:b/>
                <w:color w:val="0000CC"/>
                <w:highlight w:val="yellow"/>
              </w:rPr>
              <w:t>96</w:t>
            </w:r>
            <w:r>
              <w:rPr>
                <w:b/>
                <w:color w:val="0000CC"/>
              </w:rPr>
              <w:t xml:space="preserve"> </w:t>
            </w:r>
          </w:p>
        </w:tc>
        <w:tc>
          <w:tcPr>
            <w:tcW w:w="1701" w:type="dxa"/>
          </w:tcPr>
          <w:p w14:paraId="12FE88BC" w14:textId="77777777" w:rsidR="00CD50BF" w:rsidRPr="005B19D4" w:rsidRDefault="00CD50BF" w:rsidP="00A95B0D">
            <w:pPr>
              <w:rPr>
                <w:b/>
                <w:color w:val="0000CC"/>
              </w:rPr>
            </w:pPr>
            <w:r w:rsidRPr="000F48B7">
              <w:rPr>
                <w:b/>
                <w:color w:val="0000CC"/>
                <w:highlight w:val="cyan"/>
              </w:rPr>
              <w:t>93</w:t>
            </w:r>
          </w:p>
        </w:tc>
        <w:tc>
          <w:tcPr>
            <w:tcW w:w="1984" w:type="dxa"/>
          </w:tcPr>
          <w:p w14:paraId="49D06166" w14:textId="77777777" w:rsidR="00CD50BF" w:rsidRPr="005B19D4" w:rsidRDefault="00CD50BF" w:rsidP="00A95B0D">
            <w:pPr>
              <w:rPr>
                <w:b/>
                <w:color w:val="0000CC"/>
              </w:rPr>
            </w:pPr>
            <w:r w:rsidRPr="000F48B7">
              <w:rPr>
                <w:b/>
                <w:color w:val="0000CC"/>
                <w:highlight w:val="magenta"/>
              </w:rPr>
              <w:t>93</w:t>
            </w:r>
          </w:p>
        </w:tc>
      </w:tr>
      <w:tr w:rsidR="00CD50BF" w:rsidRPr="00F8433E" w14:paraId="0E1D2E6D" w14:textId="77777777" w:rsidTr="00A95B0D">
        <w:tc>
          <w:tcPr>
            <w:tcW w:w="2376" w:type="dxa"/>
          </w:tcPr>
          <w:p w14:paraId="4C258BF1" w14:textId="77777777" w:rsidR="00CD50BF" w:rsidRDefault="00CD50BF" w:rsidP="00A95B0D">
            <w:r>
              <w:t>Year 7</w:t>
            </w:r>
          </w:p>
        </w:tc>
        <w:tc>
          <w:tcPr>
            <w:tcW w:w="1985" w:type="dxa"/>
          </w:tcPr>
          <w:p w14:paraId="577677D0" w14:textId="77777777" w:rsidR="00CD50BF" w:rsidRPr="007E3A2A" w:rsidRDefault="00CD50BF" w:rsidP="00A95B0D">
            <w:pPr>
              <w:rPr>
                <w:b/>
              </w:rPr>
            </w:pPr>
            <w:r w:rsidRPr="000F48B7">
              <w:rPr>
                <w:b/>
                <w:color w:val="0000CC"/>
                <w:highlight w:val="magenta"/>
              </w:rPr>
              <w:t>87</w:t>
            </w:r>
            <w:r>
              <w:rPr>
                <w:b/>
                <w:color w:val="0000CC"/>
              </w:rPr>
              <w:t xml:space="preserve"> </w:t>
            </w:r>
          </w:p>
        </w:tc>
        <w:tc>
          <w:tcPr>
            <w:tcW w:w="1701" w:type="dxa"/>
          </w:tcPr>
          <w:p w14:paraId="76DF498A" w14:textId="77777777" w:rsidR="00CD50BF" w:rsidRPr="005B19D4" w:rsidRDefault="00CD50BF" w:rsidP="00A95B0D">
            <w:pPr>
              <w:rPr>
                <w:b/>
                <w:color w:val="0000CC"/>
              </w:rPr>
            </w:pPr>
            <w:r w:rsidRPr="000F48B7">
              <w:rPr>
                <w:b/>
                <w:color w:val="0000CC"/>
                <w:highlight w:val="green"/>
              </w:rPr>
              <w:t>91</w:t>
            </w:r>
          </w:p>
        </w:tc>
        <w:tc>
          <w:tcPr>
            <w:tcW w:w="1701" w:type="dxa"/>
          </w:tcPr>
          <w:p w14:paraId="6F15314F" w14:textId="77777777" w:rsidR="00CD50BF" w:rsidRPr="005B19D4" w:rsidRDefault="00CD50BF" w:rsidP="00A95B0D">
            <w:pPr>
              <w:rPr>
                <w:b/>
                <w:color w:val="0000CC"/>
              </w:rPr>
            </w:pPr>
            <w:r w:rsidRPr="000F48B7">
              <w:rPr>
                <w:b/>
                <w:color w:val="0000CC"/>
                <w:highlight w:val="yellow"/>
              </w:rPr>
              <w:t>91</w:t>
            </w:r>
          </w:p>
        </w:tc>
        <w:tc>
          <w:tcPr>
            <w:tcW w:w="1984" w:type="dxa"/>
          </w:tcPr>
          <w:p w14:paraId="1B119F69" w14:textId="77777777" w:rsidR="00CD50BF" w:rsidRPr="005B19D4" w:rsidRDefault="00CD50BF" w:rsidP="00A95B0D">
            <w:pPr>
              <w:rPr>
                <w:b/>
                <w:color w:val="0000CC"/>
              </w:rPr>
            </w:pPr>
            <w:r w:rsidRPr="000F48B7">
              <w:rPr>
                <w:b/>
                <w:color w:val="0000CC"/>
                <w:highlight w:val="cyan"/>
              </w:rPr>
              <w:t>78</w:t>
            </w:r>
          </w:p>
        </w:tc>
      </w:tr>
      <w:tr w:rsidR="00CD50BF" w:rsidRPr="00F8433E" w14:paraId="59DF2146" w14:textId="77777777" w:rsidTr="00A95B0D">
        <w:tc>
          <w:tcPr>
            <w:tcW w:w="2376" w:type="dxa"/>
          </w:tcPr>
          <w:p w14:paraId="108AD6AE" w14:textId="77777777" w:rsidR="00CD50BF" w:rsidRDefault="00CD50BF" w:rsidP="00A95B0D">
            <w:r>
              <w:t>Year 8</w:t>
            </w:r>
          </w:p>
        </w:tc>
        <w:tc>
          <w:tcPr>
            <w:tcW w:w="1985" w:type="dxa"/>
          </w:tcPr>
          <w:p w14:paraId="395A84D6" w14:textId="77777777" w:rsidR="00CD50BF" w:rsidRPr="00715008" w:rsidRDefault="00CD50BF" w:rsidP="00A95B0D">
            <w:pPr>
              <w:rPr>
                <w:b/>
              </w:rPr>
            </w:pPr>
            <w:r>
              <w:rPr>
                <w:b/>
                <w:color w:val="0000CC"/>
              </w:rPr>
              <w:t xml:space="preserve">94 </w:t>
            </w:r>
          </w:p>
        </w:tc>
        <w:tc>
          <w:tcPr>
            <w:tcW w:w="1701" w:type="dxa"/>
          </w:tcPr>
          <w:p w14:paraId="60A6E559" w14:textId="77777777" w:rsidR="00CD50BF" w:rsidRPr="005B19D4" w:rsidRDefault="00CD50BF" w:rsidP="00A95B0D">
            <w:pPr>
              <w:rPr>
                <w:b/>
                <w:color w:val="0000CC"/>
              </w:rPr>
            </w:pPr>
            <w:r w:rsidRPr="000F48B7">
              <w:rPr>
                <w:b/>
                <w:color w:val="0000CC"/>
                <w:highlight w:val="magenta"/>
              </w:rPr>
              <w:t>93</w:t>
            </w:r>
            <w:r>
              <w:rPr>
                <w:b/>
                <w:color w:val="0000CC"/>
              </w:rPr>
              <w:t xml:space="preserve"> </w:t>
            </w:r>
          </w:p>
        </w:tc>
        <w:tc>
          <w:tcPr>
            <w:tcW w:w="1701" w:type="dxa"/>
          </w:tcPr>
          <w:p w14:paraId="7DB97ED7" w14:textId="77777777" w:rsidR="00CD50BF" w:rsidRPr="005B19D4" w:rsidRDefault="00CD50BF" w:rsidP="00A95B0D">
            <w:pPr>
              <w:rPr>
                <w:b/>
                <w:color w:val="0000CC"/>
              </w:rPr>
            </w:pPr>
            <w:r w:rsidRPr="000F48B7">
              <w:rPr>
                <w:b/>
                <w:color w:val="0000CC"/>
                <w:highlight w:val="green"/>
              </w:rPr>
              <w:t>100</w:t>
            </w:r>
          </w:p>
        </w:tc>
        <w:tc>
          <w:tcPr>
            <w:tcW w:w="1984" w:type="dxa"/>
          </w:tcPr>
          <w:p w14:paraId="5043F371" w14:textId="77777777" w:rsidR="00CD50BF" w:rsidRPr="005B19D4" w:rsidRDefault="00CD50BF" w:rsidP="00A95B0D">
            <w:pPr>
              <w:rPr>
                <w:b/>
                <w:color w:val="0000CC"/>
              </w:rPr>
            </w:pPr>
            <w:r w:rsidRPr="000F48B7">
              <w:rPr>
                <w:b/>
                <w:color w:val="0000CC"/>
                <w:highlight w:val="yellow"/>
              </w:rPr>
              <w:t>100</w:t>
            </w:r>
          </w:p>
        </w:tc>
      </w:tr>
    </w:tbl>
    <w:p w14:paraId="600C517F" w14:textId="77777777" w:rsidR="00CD50BF" w:rsidRDefault="00CD50BF" w:rsidP="00CD50BF"/>
    <w:tbl>
      <w:tblPr>
        <w:tblStyle w:val="TableGrid"/>
        <w:tblW w:w="0" w:type="auto"/>
        <w:tblLayout w:type="fixed"/>
        <w:tblLook w:val="04A0" w:firstRow="1" w:lastRow="0" w:firstColumn="1" w:lastColumn="0" w:noHBand="0" w:noVBand="1"/>
      </w:tblPr>
      <w:tblGrid>
        <w:gridCol w:w="2376"/>
        <w:gridCol w:w="1985"/>
        <w:gridCol w:w="1701"/>
        <w:gridCol w:w="1701"/>
        <w:gridCol w:w="1984"/>
      </w:tblGrid>
      <w:tr w:rsidR="00CD50BF" w14:paraId="55EBE4EC" w14:textId="77777777" w:rsidTr="00A95B0D">
        <w:tc>
          <w:tcPr>
            <w:tcW w:w="2376" w:type="dxa"/>
          </w:tcPr>
          <w:p w14:paraId="539F5186" w14:textId="77777777" w:rsidR="00CD50BF" w:rsidRDefault="00CD50BF" w:rsidP="00A95B0D">
            <w:r>
              <w:t xml:space="preserve">Whole school  </w:t>
            </w:r>
            <w:r w:rsidRPr="00DC56C7">
              <w:rPr>
                <w:b/>
                <w:i/>
              </w:rPr>
              <w:t>at</w:t>
            </w:r>
            <w:r>
              <w:t xml:space="preserve"> or </w:t>
            </w:r>
            <w:r w:rsidRPr="00DC56C7">
              <w:rPr>
                <w:b/>
                <w:i/>
              </w:rPr>
              <w:t>above</w:t>
            </w:r>
            <w:r>
              <w:t xml:space="preserve"> </w:t>
            </w:r>
          </w:p>
          <w:p w14:paraId="22075A19" w14:textId="77777777" w:rsidR="00CD50BF" w:rsidRPr="00AD3E37" w:rsidRDefault="00CD50BF" w:rsidP="00A95B0D">
            <w:pPr>
              <w:rPr>
                <w:b/>
                <w:color w:val="0000CC"/>
              </w:rPr>
            </w:pPr>
            <w:r>
              <w:rPr>
                <w:b/>
                <w:color w:val="0000CC"/>
              </w:rPr>
              <w:t>Writing</w:t>
            </w:r>
          </w:p>
          <w:p w14:paraId="0F183173" w14:textId="77777777" w:rsidR="00CD50BF" w:rsidRPr="00881FEF" w:rsidRDefault="00CD50BF" w:rsidP="00A95B0D"/>
        </w:tc>
        <w:tc>
          <w:tcPr>
            <w:tcW w:w="1985" w:type="dxa"/>
          </w:tcPr>
          <w:p w14:paraId="2E2DBD61" w14:textId="77777777" w:rsidR="00CD50BF" w:rsidRDefault="00CD50BF" w:rsidP="00A95B0D">
            <w:r>
              <w:t>2011</w:t>
            </w:r>
          </w:p>
          <w:p w14:paraId="2BC6F959" w14:textId="77777777" w:rsidR="00CD50BF" w:rsidRDefault="00CD50BF" w:rsidP="00A95B0D">
            <w:pPr>
              <w:rPr>
                <w:b/>
                <w:i/>
              </w:rPr>
            </w:pPr>
            <w:r>
              <w:t xml:space="preserve">Total </w:t>
            </w:r>
            <w:r>
              <w:rPr>
                <w:b/>
                <w:color w:val="0000CC"/>
              </w:rPr>
              <w:t>77</w:t>
            </w:r>
            <w:r w:rsidRPr="00AD3E37">
              <w:rPr>
                <w:b/>
                <w:color w:val="0000CC"/>
              </w:rPr>
              <w:t>%</w:t>
            </w:r>
            <w:r>
              <w:t xml:space="preserve"> for </w:t>
            </w:r>
            <w:r w:rsidRPr="00AD3E37">
              <w:rPr>
                <w:b/>
                <w:i/>
              </w:rPr>
              <w:t>at</w:t>
            </w:r>
            <w:r>
              <w:t xml:space="preserve"> or </w:t>
            </w:r>
            <w:r w:rsidRPr="00AD3E37">
              <w:rPr>
                <w:b/>
                <w:i/>
              </w:rPr>
              <w:t>above</w:t>
            </w:r>
            <w:r>
              <w:rPr>
                <w:b/>
                <w:i/>
              </w:rPr>
              <w:t xml:space="preserve">. </w:t>
            </w:r>
          </w:p>
          <w:p w14:paraId="0B588D46" w14:textId="77777777" w:rsidR="00CD50BF" w:rsidRPr="00E55EE2" w:rsidRDefault="00CD50BF" w:rsidP="00A95B0D">
            <w:pPr>
              <w:spacing w:line="360" w:lineRule="auto"/>
              <w:rPr>
                <w:b/>
              </w:rPr>
            </w:pPr>
            <w:r w:rsidRPr="00E55EE2">
              <w:rPr>
                <w:b/>
              </w:rPr>
              <w:t>%</w:t>
            </w:r>
          </w:p>
        </w:tc>
        <w:tc>
          <w:tcPr>
            <w:tcW w:w="1701" w:type="dxa"/>
          </w:tcPr>
          <w:p w14:paraId="5F3063E9" w14:textId="77777777" w:rsidR="00CD50BF" w:rsidRDefault="00CD50BF" w:rsidP="00A95B0D">
            <w:r>
              <w:t>2012</w:t>
            </w:r>
          </w:p>
          <w:p w14:paraId="5E75C54C" w14:textId="77777777" w:rsidR="00CD50BF" w:rsidRDefault="00CD50BF" w:rsidP="00A95B0D">
            <w:pPr>
              <w:rPr>
                <w:b/>
                <w:i/>
              </w:rPr>
            </w:pPr>
            <w:r>
              <w:t xml:space="preserve">Total </w:t>
            </w:r>
            <w:r>
              <w:rPr>
                <w:b/>
                <w:color w:val="0000CC"/>
              </w:rPr>
              <w:t>80</w:t>
            </w:r>
            <w:r w:rsidRPr="00AD3E37">
              <w:rPr>
                <w:b/>
                <w:color w:val="0000CC"/>
              </w:rPr>
              <w:t>%</w:t>
            </w:r>
            <w:r>
              <w:t xml:space="preserve"> for </w:t>
            </w:r>
            <w:r w:rsidRPr="00AD3E37">
              <w:rPr>
                <w:b/>
                <w:i/>
              </w:rPr>
              <w:t>at</w:t>
            </w:r>
            <w:r>
              <w:t xml:space="preserve"> or </w:t>
            </w:r>
            <w:r w:rsidRPr="00AD3E37">
              <w:rPr>
                <w:b/>
                <w:i/>
              </w:rPr>
              <w:t>above</w:t>
            </w:r>
          </w:p>
          <w:p w14:paraId="671EE4C6" w14:textId="77777777" w:rsidR="00CD50BF" w:rsidRPr="00E55EE2" w:rsidRDefault="00CD50BF" w:rsidP="00A95B0D">
            <w:r w:rsidRPr="00E55EE2">
              <w:rPr>
                <w:b/>
              </w:rPr>
              <w:t>%</w:t>
            </w:r>
          </w:p>
        </w:tc>
        <w:tc>
          <w:tcPr>
            <w:tcW w:w="1701" w:type="dxa"/>
          </w:tcPr>
          <w:p w14:paraId="273B7CE9" w14:textId="77777777" w:rsidR="00CD50BF" w:rsidRDefault="00CD50BF" w:rsidP="00A95B0D">
            <w:r>
              <w:t>2013</w:t>
            </w:r>
          </w:p>
          <w:p w14:paraId="3033CF96" w14:textId="77777777" w:rsidR="00CD50BF" w:rsidRDefault="00CD50BF" w:rsidP="00A95B0D">
            <w:pPr>
              <w:rPr>
                <w:b/>
                <w:i/>
              </w:rPr>
            </w:pPr>
            <w:r>
              <w:t xml:space="preserve">Total </w:t>
            </w:r>
            <w:r>
              <w:rPr>
                <w:b/>
                <w:color w:val="0000CC"/>
              </w:rPr>
              <w:t>81</w:t>
            </w:r>
            <w:r w:rsidRPr="00E55EE2">
              <w:rPr>
                <w:b/>
                <w:color w:val="0000CC"/>
              </w:rPr>
              <w:t>%</w:t>
            </w:r>
            <w:r>
              <w:t xml:space="preserve"> for </w:t>
            </w:r>
            <w:r w:rsidRPr="00AD3E37">
              <w:rPr>
                <w:b/>
                <w:i/>
              </w:rPr>
              <w:t>at</w:t>
            </w:r>
            <w:r>
              <w:t xml:space="preserve"> or </w:t>
            </w:r>
            <w:r w:rsidRPr="00AD3E37">
              <w:rPr>
                <w:b/>
                <w:i/>
              </w:rPr>
              <w:t>above</w:t>
            </w:r>
          </w:p>
          <w:p w14:paraId="4EAF7845" w14:textId="77777777" w:rsidR="00CD50BF" w:rsidRPr="00E55EE2" w:rsidRDefault="00CD50BF" w:rsidP="00A95B0D">
            <w:r w:rsidRPr="00E55EE2">
              <w:rPr>
                <w:b/>
              </w:rPr>
              <w:t>%</w:t>
            </w:r>
          </w:p>
        </w:tc>
        <w:tc>
          <w:tcPr>
            <w:tcW w:w="1984" w:type="dxa"/>
          </w:tcPr>
          <w:p w14:paraId="3CA5D38C" w14:textId="77777777" w:rsidR="00CD50BF" w:rsidRDefault="00CD50BF" w:rsidP="00A95B0D">
            <w:r>
              <w:t>2014</w:t>
            </w:r>
          </w:p>
          <w:p w14:paraId="40B16B97" w14:textId="77777777" w:rsidR="00CD50BF" w:rsidRDefault="00CD50BF" w:rsidP="00A95B0D">
            <w:pPr>
              <w:rPr>
                <w:b/>
                <w:color w:val="0000CC"/>
              </w:rPr>
            </w:pPr>
            <w:r>
              <w:t xml:space="preserve">Total </w:t>
            </w:r>
            <w:r>
              <w:rPr>
                <w:b/>
                <w:color w:val="0000CC"/>
              </w:rPr>
              <w:t>87</w:t>
            </w:r>
            <w:r w:rsidRPr="00AD3E37">
              <w:rPr>
                <w:b/>
                <w:color w:val="0000CC"/>
              </w:rPr>
              <w:t xml:space="preserve"> %</w:t>
            </w:r>
            <w:r w:rsidRPr="00AD3E37">
              <w:rPr>
                <w:color w:val="0000CC"/>
              </w:rPr>
              <w:t xml:space="preserve"> </w:t>
            </w:r>
            <w:r>
              <w:t xml:space="preserve">for </w:t>
            </w:r>
            <w:r w:rsidRPr="00AD3E37">
              <w:rPr>
                <w:b/>
                <w:i/>
              </w:rPr>
              <w:t>at</w:t>
            </w:r>
            <w:r>
              <w:t xml:space="preserve"> or </w:t>
            </w:r>
            <w:r w:rsidRPr="00AD3E37">
              <w:rPr>
                <w:b/>
                <w:i/>
              </w:rPr>
              <w:t>above</w:t>
            </w:r>
            <w:r>
              <w:t xml:space="preserve">. </w:t>
            </w:r>
            <w:r w:rsidRPr="00AD3E37">
              <w:rPr>
                <w:b/>
                <w:color w:val="0000CC"/>
              </w:rPr>
              <w:t>N = 479</w:t>
            </w:r>
          </w:p>
          <w:p w14:paraId="71794F80" w14:textId="77777777" w:rsidR="00CD50BF" w:rsidRDefault="00CD50BF" w:rsidP="00A95B0D">
            <w:r w:rsidRPr="00E55EE2">
              <w:rPr>
                <w:b/>
              </w:rPr>
              <w:t>%</w:t>
            </w:r>
          </w:p>
        </w:tc>
      </w:tr>
      <w:tr w:rsidR="00CD50BF" w:rsidRPr="005B19D4" w14:paraId="270B1F48" w14:textId="77777777" w:rsidTr="00A95B0D">
        <w:tc>
          <w:tcPr>
            <w:tcW w:w="2376" w:type="dxa"/>
          </w:tcPr>
          <w:p w14:paraId="55BA22A6" w14:textId="77777777" w:rsidR="00CD50BF" w:rsidRDefault="00CD50BF" w:rsidP="00A95B0D">
            <w:r>
              <w:t>Year 1</w:t>
            </w:r>
          </w:p>
        </w:tc>
        <w:tc>
          <w:tcPr>
            <w:tcW w:w="1985" w:type="dxa"/>
          </w:tcPr>
          <w:p w14:paraId="60D0303D" w14:textId="77777777" w:rsidR="00CD50BF" w:rsidRPr="00C32B75" w:rsidRDefault="00CD50BF" w:rsidP="00A95B0D">
            <w:pPr>
              <w:rPr>
                <w:b/>
                <w:color w:val="0000CC"/>
              </w:rPr>
            </w:pPr>
            <w:r w:rsidRPr="006C5924">
              <w:rPr>
                <w:b/>
                <w:color w:val="0000CC"/>
                <w:highlight w:val="yellow"/>
              </w:rPr>
              <w:t>74</w:t>
            </w:r>
            <w:r>
              <w:rPr>
                <w:b/>
                <w:color w:val="0000CC"/>
              </w:rPr>
              <w:t xml:space="preserve"> </w:t>
            </w:r>
          </w:p>
        </w:tc>
        <w:tc>
          <w:tcPr>
            <w:tcW w:w="1701" w:type="dxa"/>
          </w:tcPr>
          <w:p w14:paraId="2DD7909E" w14:textId="77777777" w:rsidR="00CD50BF" w:rsidRPr="009F626B" w:rsidRDefault="00CD50BF" w:rsidP="00A95B0D">
            <w:pPr>
              <w:rPr>
                <w:b/>
                <w:color w:val="0000CC"/>
              </w:rPr>
            </w:pPr>
            <w:r w:rsidRPr="006C5924">
              <w:rPr>
                <w:b/>
                <w:color w:val="0000CC"/>
                <w:highlight w:val="green"/>
              </w:rPr>
              <w:t>97</w:t>
            </w:r>
            <w:r>
              <w:rPr>
                <w:b/>
                <w:color w:val="0000CC"/>
              </w:rPr>
              <w:t xml:space="preserve">    </w:t>
            </w:r>
          </w:p>
        </w:tc>
        <w:tc>
          <w:tcPr>
            <w:tcW w:w="1701" w:type="dxa"/>
          </w:tcPr>
          <w:p w14:paraId="41D3CBEC" w14:textId="77777777" w:rsidR="00CD50BF" w:rsidRDefault="00CD50BF" w:rsidP="00A95B0D">
            <w:pPr>
              <w:rPr>
                <w:b/>
                <w:color w:val="0000CC"/>
              </w:rPr>
            </w:pPr>
            <w:r w:rsidRPr="006C5924">
              <w:rPr>
                <w:b/>
                <w:color w:val="0000CC"/>
                <w:highlight w:val="yellow"/>
              </w:rPr>
              <w:t>90</w:t>
            </w:r>
            <w:r>
              <w:rPr>
                <w:b/>
                <w:color w:val="0000CC"/>
              </w:rPr>
              <w:t xml:space="preserve"> </w:t>
            </w:r>
          </w:p>
        </w:tc>
        <w:tc>
          <w:tcPr>
            <w:tcW w:w="1984" w:type="dxa"/>
          </w:tcPr>
          <w:p w14:paraId="7543045B" w14:textId="77777777" w:rsidR="00CD50BF" w:rsidRPr="004B3FE1" w:rsidRDefault="00CD50BF" w:rsidP="00A95B0D">
            <w:r>
              <w:rPr>
                <w:b/>
                <w:color w:val="0000CC"/>
              </w:rPr>
              <w:t xml:space="preserve">90 </w:t>
            </w:r>
          </w:p>
        </w:tc>
      </w:tr>
      <w:tr w:rsidR="00CD50BF" w:rsidRPr="005B19D4" w14:paraId="6FF59E6C" w14:textId="77777777" w:rsidTr="00A95B0D">
        <w:tc>
          <w:tcPr>
            <w:tcW w:w="2376" w:type="dxa"/>
          </w:tcPr>
          <w:p w14:paraId="70BBC952" w14:textId="77777777" w:rsidR="00CD50BF" w:rsidRDefault="00CD50BF" w:rsidP="00A95B0D">
            <w:r>
              <w:t>Year 2</w:t>
            </w:r>
          </w:p>
        </w:tc>
        <w:tc>
          <w:tcPr>
            <w:tcW w:w="1985" w:type="dxa"/>
          </w:tcPr>
          <w:p w14:paraId="6F274985" w14:textId="77777777" w:rsidR="00CD50BF" w:rsidRPr="00C32B75" w:rsidRDefault="00CD50BF" w:rsidP="00A95B0D">
            <w:pPr>
              <w:rPr>
                <w:b/>
                <w:color w:val="0000CC"/>
              </w:rPr>
            </w:pPr>
            <w:r w:rsidRPr="006C5924">
              <w:rPr>
                <w:b/>
                <w:color w:val="0000CC"/>
                <w:highlight w:val="green"/>
              </w:rPr>
              <w:t>88</w:t>
            </w:r>
            <w:r>
              <w:rPr>
                <w:b/>
                <w:color w:val="0000CC"/>
              </w:rPr>
              <w:t xml:space="preserve"> </w:t>
            </w:r>
          </w:p>
        </w:tc>
        <w:tc>
          <w:tcPr>
            <w:tcW w:w="1701" w:type="dxa"/>
          </w:tcPr>
          <w:p w14:paraId="513C6189" w14:textId="77777777" w:rsidR="00CD50BF" w:rsidRPr="009F626B" w:rsidRDefault="00CD50BF" w:rsidP="00A95B0D">
            <w:pPr>
              <w:rPr>
                <w:b/>
                <w:color w:val="0000CC"/>
              </w:rPr>
            </w:pPr>
            <w:r w:rsidRPr="006C5924">
              <w:rPr>
                <w:b/>
                <w:color w:val="0000CC"/>
                <w:highlight w:val="yellow"/>
              </w:rPr>
              <w:t>72</w:t>
            </w:r>
            <w:r>
              <w:rPr>
                <w:b/>
                <w:color w:val="0000CC"/>
              </w:rPr>
              <w:t xml:space="preserve">    </w:t>
            </w:r>
          </w:p>
        </w:tc>
        <w:tc>
          <w:tcPr>
            <w:tcW w:w="1701" w:type="dxa"/>
          </w:tcPr>
          <w:p w14:paraId="1476A61B" w14:textId="77777777" w:rsidR="00CD50BF" w:rsidRDefault="00CD50BF" w:rsidP="00A95B0D">
            <w:pPr>
              <w:rPr>
                <w:b/>
                <w:color w:val="0000CC"/>
              </w:rPr>
            </w:pPr>
            <w:r w:rsidRPr="006C5924">
              <w:rPr>
                <w:b/>
                <w:color w:val="0000CC"/>
                <w:highlight w:val="green"/>
              </w:rPr>
              <w:t>78</w:t>
            </w:r>
            <w:r>
              <w:rPr>
                <w:b/>
                <w:color w:val="0000CC"/>
              </w:rPr>
              <w:t xml:space="preserve"> </w:t>
            </w:r>
          </w:p>
        </w:tc>
        <w:tc>
          <w:tcPr>
            <w:tcW w:w="1984" w:type="dxa"/>
          </w:tcPr>
          <w:p w14:paraId="26CF0B6A" w14:textId="77777777" w:rsidR="00CD50BF" w:rsidRDefault="00CD50BF" w:rsidP="00A95B0D">
            <w:pPr>
              <w:rPr>
                <w:b/>
                <w:color w:val="0000CC"/>
              </w:rPr>
            </w:pPr>
            <w:r w:rsidRPr="006C5924">
              <w:rPr>
                <w:b/>
                <w:color w:val="0000CC"/>
                <w:highlight w:val="yellow"/>
              </w:rPr>
              <w:t>90</w:t>
            </w:r>
            <w:r>
              <w:rPr>
                <w:b/>
                <w:color w:val="0000CC"/>
              </w:rPr>
              <w:t xml:space="preserve"> </w:t>
            </w:r>
          </w:p>
        </w:tc>
      </w:tr>
      <w:tr w:rsidR="00CD50BF" w:rsidRPr="005B19D4" w14:paraId="6EFDE850" w14:textId="77777777" w:rsidTr="00A95B0D">
        <w:tc>
          <w:tcPr>
            <w:tcW w:w="2376" w:type="dxa"/>
          </w:tcPr>
          <w:p w14:paraId="3CCB88ED" w14:textId="77777777" w:rsidR="00CD50BF" w:rsidRDefault="00CD50BF" w:rsidP="00A95B0D">
            <w:r>
              <w:t>Year 3</w:t>
            </w:r>
          </w:p>
        </w:tc>
        <w:tc>
          <w:tcPr>
            <w:tcW w:w="1985" w:type="dxa"/>
          </w:tcPr>
          <w:p w14:paraId="6750B0F4" w14:textId="77777777" w:rsidR="00CD50BF" w:rsidRPr="00F20845" w:rsidRDefault="00CD50BF" w:rsidP="00A95B0D">
            <w:pPr>
              <w:rPr>
                <w:b/>
                <w:color w:val="0000CC"/>
              </w:rPr>
            </w:pPr>
            <w:r w:rsidRPr="006C5924">
              <w:rPr>
                <w:b/>
                <w:color w:val="0000CC"/>
                <w:highlight w:val="yellow"/>
              </w:rPr>
              <w:t>80</w:t>
            </w:r>
          </w:p>
        </w:tc>
        <w:tc>
          <w:tcPr>
            <w:tcW w:w="1701" w:type="dxa"/>
          </w:tcPr>
          <w:p w14:paraId="1DA17E13" w14:textId="77777777" w:rsidR="00CD50BF" w:rsidRPr="009F626B" w:rsidRDefault="00CD50BF" w:rsidP="00A95B0D">
            <w:pPr>
              <w:rPr>
                <w:b/>
              </w:rPr>
            </w:pPr>
            <w:r w:rsidRPr="006C5924">
              <w:rPr>
                <w:b/>
                <w:color w:val="0000CC"/>
                <w:highlight w:val="green"/>
              </w:rPr>
              <w:t>90</w:t>
            </w:r>
            <w:r w:rsidRPr="009F626B">
              <w:rPr>
                <w:b/>
                <w:color w:val="0000CC"/>
              </w:rPr>
              <w:t xml:space="preserve"> </w:t>
            </w:r>
            <w:r>
              <w:rPr>
                <w:b/>
                <w:color w:val="0000CC"/>
              </w:rPr>
              <w:t xml:space="preserve">   </w:t>
            </w:r>
          </w:p>
        </w:tc>
        <w:tc>
          <w:tcPr>
            <w:tcW w:w="1701" w:type="dxa"/>
          </w:tcPr>
          <w:p w14:paraId="576E54ED" w14:textId="77777777" w:rsidR="00CD50BF" w:rsidRDefault="00CD50BF" w:rsidP="00A95B0D">
            <w:pPr>
              <w:rPr>
                <w:b/>
                <w:color w:val="0000CC"/>
              </w:rPr>
            </w:pPr>
            <w:r w:rsidRPr="006C5924">
              <w:rPr>
                <w:b/>
                <w:color w:val="0000CC"/>
                <w:highlight w:val="yellow"/>
              </w:rPr>
              <w:t>73</w:t>
            </w:r>
          </w:p>
        </w:tc>
        <w:tc>
          <w:tcPr>
            <w:tcW w:w="1984" w:type="dxa"/>
          </w:tcPr>
          <w:p w14:paraId="3EBCE083" w14:textId="77777777" w:rsidR="00CD50BF" w:rsidRDefault="00CD50BF" w:rsidP="00A95B0D">
            <w:pPr>
              <w:rPr>
                <w:b/>
                <w:color w:val="0000CC"/>
              </w:rPr>
            </w:pPr>
            <w:r w:rsidRPr="006C5924">
              <w:rPr>
                <w:b/>
                <w:color w:val="0000CC"/>
                <w:highlight w:val="green"/>
              </w:rPr>
              <w:t>74</w:t>
            </w:r>
          </w:p>
        </w:tc>
      </w:tr>
      <w:tr w:rsidR="00CD50BF" w:rsidRPr="005B19D4" w14:paraId="2C3F9F4B" w14:textId="77777777" w:rsidTr="00A95B0D">
        <w:tc>
          <w:tcPr>
            <w:tcW w:w="2376" w:type="dxa"/>
          </w:tcPr>
          <w:p w14:paraId="1DC64664" w14:textId="77777777" w:rsidR="00CD50BF" w:rsidRDefault="00CD50BF" w:rsidP="00A95B0D">
            <w:r>
              <w:t>Year 4</w:t>
            </w:r>
          </w:p>
        </w:tc>
        <w:tc>
          <w:tcPr>
            <w:tcW w:w="1985" w:type="dxa"/>
          </w:tcPr>
          <w:p w14:paraId="5A873195" w14:textId="77777777" w:rsidR="00CD50BF" w:rsidRPr="00F20845" w:rsidRDefault="00CD50BF" w:rsidP="00A95B0D">
            <w:pPr>
              <w:rPr>
                <w:b/>
              </w:rPr>
            </w:pPr>
            <w:r w:rsidRPr="006C5924">
              <w:rPr>
                <w:b/>
                <w:color w:val="0000CC"/>
                <w:highlight w:val="green"/>
              </w:rPr>
              <w:t>76</w:t>
            </w:r>
            <w:r>
              <w:rPr>
                <w:b/>
                <w:color w:val="0000CC"/>
              </w:rPr>
              <w:t xml:space="preserve"> </w:t>
            </w:r>
          </w:p>
        </w:tc>
        <w:tc>
          <w:tcPr>
            <w:tcW w:w="1701" w:type="dxa"/>
          </w:tcPr>
          <w:p w14:paraId="0F86175E" w14:textId="77777777" w:rsidR="00CD50BF" w:rsidRPr="009F626B" w:rsidRDefault="00CD50BF" w:rsidP="00A95B0D">
            <w:pPr>
              <w:rPr>
                <w:b/>
              </w:rPr>
            </w:pPr>
            <w:r w:rsidRPr="006C5924">
              <w:rPr>
                <w:b/>
                <w:color w:val="0000CC"/>
                <w:highlight w:val="yellow"/>
              </w:rPr>
              <w:t>82</w:t>
            </w:r>
            <w:r>
              <w:rPr>
                <w:b/>
                <w:color w:val="0000CC"/>
              </w:rPr>
              <w:t xml:space="preserve">    </w:t>
            </w:r>
          </w:p>
        </w:tc>
        <w:tc>
          <w:tcPr>
            <w:tcW w:w="1701" w:type="dxa"/>
          </w:tcPr>
          <w:p w14:paraId="263B3CC1" w14:textId="77777777" w:rsidR="00CD50BF" w:rsidRDefault="00CD50BF" w:rsidP="00A95B0D">
            <w:pPr>
              <w:rPr>
                <w:b/>
                <w:color w:val="0000CC"/>
              </w:rPr>
            </w:pPr>
            <w:r w:rsidRPr="006C5924">
              <w:rPr>
                <w:b/>
                <w:color w:val="0000CC"/>
                <w:highlight w:val="green"/>
              </w:rPr>
              <w:t>83</w:t>
            </w:r>
          </w:p>
        </w:tc>
        <w:tc>
          <w:tcPr>
            <w:tcW w:w="1984" w:type="dxa"/>
          </w:tcPr>
          <w:p w14:paraId="49967627" w14:textId="77777777" w:rsidR="00CD50BF" w:rsidRDefault="00CD50BF" w:rsidP="00A95B0D">
            <w:pPr>
              <w:rPr>
                <w:b/>
                <w:color w:val="0000CC"/>
              </w:rPr>
            </w:pPr>
            <w:r w:rsidRPr="006C5924">
              <w:rPr>
                <w:b/>
                <w:color w:val="0000CC"/>
                <w:highlight w:val="yellow"/>
              </w:rPr>
              <w:t>87</w:t>
            </w:r>
            <w:r>
              <w:rPr>
                <w:b/>
                <w:color w:val="0000CC"/>
              </w:rPr>
              <w:t xml:space="preserve"> </w:t>
            </w:r>
          </w:p>
        </w:tc>
      </w:tr>
      <w:tr w:rsidR="00CD50BF" w:rsidRPr="005B19D4" w14:paraId="209CD7F4" w14:textId="77777777" w:rsidTr="00A95B0D">
        <w:tc>
          <w:tcPr>
            <w:tcW w:w="2376" w:type="dxa"/>
          </w:tcPr>
          <w:p w14:paraId="1FCED405" w14:textId="77777777" w:rsidR="00CD50BF" w:rsidRDefault="00CD50BF" w:rsidP="00A95B0D">
            <w:r>
              <w:t>Year 5</w:t>
            </w:r>
          </w:p>
        </w:tc>
        <w:tc>
          <w:tcPr>
            <w:tcW w:w="1985" w:type="dxa"/>
          </w:tcPr>
          <w:p w14:paraId="5CA87A23" w14:textId="77777777" w:rsidR="00CD50BF" w:rsidRPr="00440AF6" w:rsidRDefault="00CD50BF" w:rsidP="00A95B0D">
            <w:pPr>
              <w:rPr>
                <w:b/>
                <w:color w:val="0000CC"/>
              </w:rPr>
            </w:pPr>
            <w:r w:rsidRPr="006C5924">
              <w:rPr>
                <w:b/>
                <w:color w:val="0000CC"/>
                <w:highlight w:val="yellow"/>
              </w:rPr>
              <w:t>79</w:t>
            </w:r>
            <w:r>
              <w:rPr>
                <w:b/>
                <w:color w:val="0000CC"/>
              </w:rPr>
              <w:t xml:space="preserve"> </w:t>
            </w:r>
          </w:p>
        </w:tc>
        <w:tc>
          <w:tcPr>
            <w:tcW w:w="1701" w:type="dxa"/>
          </w:tcPr>
          <w:p w14:paraId="46628501" w14:textId="77777777" w:rsidR="00CD50BF" w:rsidRPr="009F626B" w:rsidRDefault="00CD50BF" w:rsidP="00A95B0D">
            <w:pPr>
              <w:rPr>
                <w:b/>
              </w:rPr>
            </w:pPr>
            <w:r w:rsidRPr="006C5924">
              <w:rPr>
                <w:b/>
                <w:color w:val="0000CC"/>
                <w:highlight w:val="green"/>
              </w:rPr>
              <w:t>73</w:t>
            </w:r>
            <w:r>
              <w:rPr>
                <w:b/>
                <w:color w:val="0000CC"/>
              </w:rPr>
              <w:t xml:space="preserve">    </w:t>
            </w:r>
          </w:p>
        </w:tc>
        <w:tc>
          <w:tcPr>
            <w:tcW w:w="1701" w:type="dxa"/>
          </w:tcPr>
          <w:p w14:paraId="4C954D9B" w14:textId="77777777" w:rsidR="00CD50BF" w:rsidRDefault="00CD50BF" w:rsidP="00A95B0D">
            <w:pPr>
              <w:rPr>
                <w:b/>
                <w:color w:val="0000CC"/>
              </w:rPr>
            </w:pPr>
            <w:r w:rsidRPr="006C5924">
              <w:rPr>
                <w:b/>
                <w:color w:val="0000CC"/>
                <w:highlight w:val="yellow"/>
              </w:rPr>
              <w:t>79</w:t>
            </w:r>
          </w:p>
        </w:tc>
        <w:tc>
          <w:tcPr>
            <w:tcW w:w="1984" w:type="dxa"/>
          </w:tcPr>
          <w:p w14:paraId="16CF0FC6" w14:textId="77777777" w:rsidR="00CD50BF" w:rsidRDefault="00CD50BF" w:rsidP="00A95B0D">
            <w:pPr>
              <w:rPr>
                <w:b/>
                <w:color w:val="0000CC"/>
              </w:rPr>
            </w:pPr>
            <w:r w:rsidRPr="006C5924">
              <w:rPr>
                <w:b/>
                <w:color w:val="0000CC"/>
                <w:highlight w:val="green"/>
              </w:rPr>
              <w:t>86</w:t>
            </w:r>
          </w:p>
        </w:tc>
      </w:tr>
      <w:tr w:rsidR="00CD50BF" w:rsidRPr="005B19D4" w14:paraId="0A1F9FD6" w14:textId="77777777" w:rsidTr="00A95B0D">
        <w:tc>
          <w:tcPr>
            <w:tcW w:w="2376" w:type="dxa"/>
          </w:tcPr>
          <w:p w14:paraId="3C1567E2" w14:textId="77777777" w:rsidR="00CD50BF" w:rsidRDefault="00CD50BF" w:rsidP="00A95B0D">
            <w:r>
              <w:t>Year 6</w:t>
            </w:r>
          </w:p>
        </w:tc>
        <w:tc>
          <w:tcPr>
            <w:tcW w:w="1985" w:type="dxa"/>
          </w:tcPr>
          <w:p w14:paraId="1C3F2471" w14:textId="77777777" w:rsidR="00CD50BF" w:rsidRPr="00440AF6" w:rsidRDefault="00CD50BF" w:rsidP="00A95B0D">
            <w:pPr>
              <w:rPr>
                <w:b/>
                <w:color w:val="0000CC"/>
              </w:rPr>
            </w:pPr>
            <w:r w:rsidRPr="006C5924">
              <w:rPr>
                <w:b/>
                <w:color w:val="0000CC"/>
                <w:highlight w:val="green"/>
              </w:rPr>
              <w:t>73</w:t>
            </w:r>
            <w:r>
              <w:rPr>
                <w:b/>
                <w:color w:val="0000CC"/>
              </w:rPr>
              <w:t xml:space="preserve"> </w:t>
            </w:r>
          </w:p>
        </w:tc>
        <w:tc>
          <w:tcPr>
            <w:tcW w:w="1701" w:type="dxa"/>
          </w:tcPr>
          <w:p w14:paraId="3D65C6A3" w14:textId="77777777" w:rsidR="00CD50BF" w:rsidRPr="009F626B" w:rsidRDefault="00CD50BF" w:rsidP="00A95B0D">
            <w:pPr>
              <w:rPr>
                <w:b/>
              </w:rPr>
            </w:pPr>
            <w:r w:rsidRPr="006C5924">
              <w:rPr>
                <w:b/>
                <w:color w:val="0000CC"/>
                <w:highlight w:val="yellow"/>
              </w:rPr>
              <w:t>87</w:t>
            </w:r>
            <w:r>
              <w:rPr>
                <w:b/>
                <w:color w:val="0000CC"/>
              </w:rPr>
              <w:t xml:space="preserve">   </w:t>
            </w:r>
          </w:p>
        </w:tc>
        <w:tc>
          <w:tcPr>
            <w:tcW w:w="1701" w:type="dxa"/>
          </w:tcPr>
          <w:p w14:paraId="04822EEA" w14:textId="77777777" w:rsidR="00CD50BF" w:rsidRDefault="00CD50BF" w:rsidP="00A95B0D">
            <w:pPr>
              <w:rPr>
                <w:b/>
                <w:color w:val="0000CC"/>
              </w:rPr>
            </w:pPr>
            <w:r w:rsidRPr="006C5924">
              <w:rPr>
                <w:b/>
                <w:color w:val="0000CC"/>
                <w:highlight w:val="green"/>
              </w:rPr>
              <w:t>81</w:t>
            </w:r>
          </w:p>
        </w:tc>
        <w:tc>
          <w:tcPr>
            <w:tcW w:w="1984" w:type="dxa"/>
          </w:tcPr>
          <w:p w14:paraId="114E765E" w14:textId="77777777" w:rsidR="00CD50BF" w:rsidRDefault="00CD50BF" w:rsidP="00A95B0D">
            <w:pPr>
              <w:rPr>
                <w:b/>
                <w:color w:val="0000CC"/>
              </w:rPr>
            </w:pPr>
            <w:r w:rsidRPr="006C5924">
              <w:rPr>
                <w:b/>
                <w:color w:val="0000CC"/>
                <w:highlight w:val="yellow"/>
              </w:rPr>
              <w:t>92</w:t>
            </w:r>
          </w:p>
        </w:tc>
      </w:tr>
      <w:tr w:rsidR="00CD50BF" w:rsidRPr="005B19D4" w14:paraId="7A1AA702" w14:textId="77777777" w:rsidTr="00A95B0D">
        <w:tc>
          <w:tcPr>
            <w:tcW w:w="2376" w:type="dxa"/>
          </w:tcPr>
          <w:p w14:paraId="7A43843E" w14:textId="77777777" w:rsidR="00CD50BF" w:rsidRDefault="00CD50BF" w:rsidP="00A95B0D">
            <w:r>
              <w:t>Year 7</w:t>
            </w:r>
          </w:p>
        </w:tc>
        <w:tc>
          <w:tcPr>
            <w:tcW w:w="1985" w:type="dxa"/>
          </w:tcPr>
          <w:p w14:paraId="0B3544E0" w14:textId="77777777" w:rsidR="00CD50BF" w:rsidRPr="007E3A2A" w:rsidRDefault="00CD50BF" w:rsidP="00A95B0D">
            <w:pPr>
              <w:rPr>
                <w:b/>
              </w:rPr>
            </w:pPr>
            <w:r w:rsidRPr="006C5924">
              <w:rPr>
                <w:b/>
                <w:color w:val="0000CC"/>
                <w:highlight w:val="yellow"/>
              </w:rPr>
              <w:t>58</w:t>
            </w:r>
            <w:r>
              <w:rPr>
                <w:b/>
                <w:color w:val="0000CC"/>
              </w:rPr>
              <w:t xml:space="preserve"> </w:t>
            </w:r>
          </w:p>
        </w:tc>
        <w:tc>
          <w:tcPr>
            <w:tcW w:w="1701" w:type="dxa"/>
          </w:tcPr>
          <w:p w14:paraId="159FECB7" w14:textId="77777777" w:rsidR="00CD50BF" w:rsidRPr="009F626B" w:rsidRDefault="00CD50BF" w:rsidP="00A95B0D">
            <w:pPr>
              <w:rPr>
                <w:b/>
              </w:rPr>
            </w:pPr>
            <w:r w:rsidRPr="006C5924">
              <w:rPr>
                <w:b/>
                <w:color w:val="0000CC"/>
                <w:highlight w:val="green"/>
              </w:rPr>
              <w:t>63</w:t>
            </w:r>
            <w:r>
              <w:rPr>
                <w:b/>
                <w:color w:val="0000CC"/>
              </w:rPr>
              <w:t xml:space="preserve">    </w:t>
            </w:r>
          </w:p>
        </w:tc>
        <w:tc>
          <w:tcPr>
            <w:tcW w:w="1701" w:type="dxa"/>
          </w:tcPr>
          <w:p w14:paraId="3348E9D2" w14:textId="77777777" w:rsidR="00CD50BF" w:rsidRDefault="00CD50BF" w:rsidP="00A95B0D">
            <w:pPr>
              <w:rPr>
                <w:b/>
                <w:color w:val="0000CC"/>
              </w:rPr>
            </w:pPr>
            <w:r w:rsidRPr="006C5924">
              <w:rPr>
                <w:b/>
                <w:color w:val="0000CC"/>
                <w:highlight w:val="yellow"/>
              </w:rPr>
              <w:t>76</w:t>
            </w:r>
          </w:p>
        </w:tc>
        <w:tc>
          <w:tcPr>
            <w:tcW w:w="1984" w:type="dxa"/>
          </w:tcPr>
          <w:p w14:paraId="0F3EDFC1" w14:textId="77777777" w:rsidR="00CD50BF" w:rsidRDefault="00CD50BF" w:rsidP="00A95B0D">
            <w:pPr>
              <w:rPr>
                <w:b/>
                <w:color w:val="0000CC"/>
              </w:rPr>
            </w:pPr>
            <w:r w:rsidRPr="006C5924">
              <w:rPr>
                <w:b/>
                <w:color w:val="0000CC"/>
                <w:highlight w:val="green"/>
              </w:rPr>
              <w:t>76</w:t>
            </w:r>
          </w:p>
        </w:tc>
      </w:tr>
      <w:tr w:rsidR="00CD50BF" w:rsidRPr="005B19D4" w14:paraId="70B009AC" w14:textId="77777777" w:rsidTr="00A95B0D">
        <w:tc>
          <w:tcPr>
            <w:tcW w:w="2376" w:type="dxa"/>
          </w:tcPr>
          <w:p w14:paraId="6B85E4E5" w14:textId="77777777" w:rsidR="00CD50BF" w:rsidRDefault="00CD50BF" w:rsidP="00A95B0D">
            <w:r>
              <w:t>Year 8</w:t>
            </w:r>
          </w:p>
        </w:tc>
        <w:tc>
          <w:tcPr>
            <w:tcW w:w="1985" w:type="dxa"/>
          </w:tcPr>
          <w:p w14:paraId="0AAB180F" w14:textId="77777777" w:rsidR="00CD50BF" w:rsidRPr="007E3A2A" w:rsidRDefault="00CD50BF" w:rsidP="00A95B0D">
            <w:pPr>
              <w:rPr>
                <w:b/>
                <w:color w:val="0000CC"/>
              </w:rPr>
            </w:pPr>
            <w:r>
              <w:rPr>
                <w:b/>
                <w:color w:val="0000CC"/>
              </w:rPr>
              <w:t xml:space="preserve">88 </w:t>
            </w:r>
          </w:p>
        </w:tc>
        <w:tc>
          <w:tcPr>
            <w:tcW w:w="1701" w:type="dxa"/>
          </w:tcPr>
          <w:p w14:paraId="60C6BC75" w14:textId="77777777" w:rsidR="00CD50BF" w:rsidRPr="005B19D4" w:rsidRDefault="00CD50BF" w:rsidP="00A95B0D">
            <w:pPr>
              <w:rPr>
                <w:b/>
              </w:rPr>
            </w:pPr>
            <w:r w:rsidRPr="006C5924">
              <w:rPr>
                <w:b/>
                <w:color w:val="0000CC"/>
                <w:highlight w:val="yellow"/>
              </w:rPr>
              <w:t>75</w:t>
            </w:r>
            <w:r>
              <w:rPr>
                <w:b/>
                <w:color w:val="0000CC"/>
              </w:rPr>
              <w:t xml:space="preserve">    </w:t>
            </w:r>
          </w:p>
        </w:tc>
        <w:tc>
          <w:tcPr>
            <w:tcW w:w="1701" w:type="dxa"/>
          </w:tcPr>
          <w:p w14:paraId="4338B982" w14:textId="77777777" w:rsidR="00CD50BF" w:rsidRDefault="00CD50BF" w:rsidP="00A95B0D">
            <w:pPr>
              <w:rPr>
                <w:b/>
                <w:color w:val="0000CC"/>
              </w:rPr>
            </w:pPr>
            <w:r w:rsidRPr="006C5924">
              <w:rPr>
                <w:b/>
                <w:color w:val="0000CC"/>
                <w:highlight w:val="green"/>
              </w:rPr>
              <w:t>82</w:t>
            </w:r>
          </w:p>
        </w:tc>
        <w:tc>
          <w:tcPr>
            <w:tcW w:w="1984" w:type="dxa"/>
          </w:tcPr>
          <w:p w14:paraId="7231845E" w14:textId="77777777" w:rsidR="00CD50BF" w:rsidRDefault="00CD50BF" w:rsidP="00A95B0D">
            <w:pPr>
              <w:rPr>
                <w:b/>
                <w:color w:val="0000CC"/>
              </w:rPr>
            </w:pPr>
            <w:r w:rsidRPr="006C5924">
              <w:rPr>
                <w:b/>
                <w:color w:val="0000CC"/>
                <w:highlight w:val="yellow"/>
              </w:rPr>
              <w:t>98</w:t>
            </w:r>
          </w:p>
        </w:tc>
      </w:tr>
    </w:tbl>
    <w:p w14:paraId="2C7011AF" w14:textId="77777777" w:rsidR="00CD50BF" w:rsidRDefault="00CD50BF" w:rsidP="00CD50BF">
      <w:pPr>
        <w:rPr>
          <w:rFonts w:ascii="Arial" w:hAnsi="Arial" w:cs="Arial"/>
        </w:rPr>
      </w:pPr>
    </w:p>
    <w:p w14:paraId="62632656" w14:textId="77777777" w:rsidR="00CD50BF" w:rsidRPr="00EE2EC6" w:rsidRDefault="00CD50BF" w:rsidP="00CD50BF">
      <w:pPr>
        <w:pStyle w:val="Heading1"/>
      </w:pPr>
      <w:r>
        <w:t xml:space="preserve">Example of Whole School PLG 2014 EOY used to set 2015 goals and Targets </w:t>
      </w:r>
    </w:p>
    <w:p w14:paraId="10C2A130" w14:textId="77777777" w:rsidR="00CD50BF" w:rsidRPr="003D70D4" w:rsidRDefault="00CD50BF" w:rsidP="00CD50BF">
      <w:pPr>
        <w:pStyle w:val="Heading2"/>
      </w:pPr>
      <w:r>
        <w:rPr>
          <w:lang w:val="en-GB" w:eastAsia="en-GB"/>
        </w:rPr>
        <w:t xml:space="preserve">Analysis of Variance for 2014 results of set achievement goals and targets </w:t>
      </w:r>
    </w:p>
    <w:p w14:paraId="15AE7027" w14:textId="77777777" w:rsidR="00CD50BF" w:rsidRDefault="00CD50BF" w:rsidP="00CD50BF">
      <w:pPr>
        <w:pStyle w:val="BodyText"/>
        <w:spacing w:line="276" w:lineRule="auto"/>
        <w:rPr>
          <w:rFonts w:ascii="Tahoma" w:hAnsi="Tahoma" w:cs="Tahoma"/>
          <w:color w:val="365F91"/>
          <w:sz w:val="28"/>
          <w:szCs w:val="28"/>
          <w:lang w:val="en-GB" w:eastAsia="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32"/>
      </w:tblGrid>
      <w:tr w:rsidR="00CD50BF" w14:paraId="11E1C6D4" w14:textId="77777777" w:rsidTr="00A95B0D">
        <w:tc>
          <w:tcPr>
            <w:tcW w:w="10632" w:type="dxa"/>
            <w:tcBorders>
              <w:top w:val="single" w:sz="4" w:space="0" w:color="auto"/>
              <w:left w:val="single" w:sz="4" w:space="0" w:color="auto"/>
              <w:bottom w:val="single" w:sz="4" w:space="0" w:color="auto"/>
              <w:right w:val="single" w:sz="4" w:space="0" w:color="auto"/>
            </w:tcBorders>
            <w:shd w:val="clear" w:color="auto" w:fill="D0D8E8"/>
            <w:hideMark/>
          </w:tcPr>
          <w:p w14:paraId="6011471B" w14:textId="77777777" w:rsidR="00CD50BF" w:rsidRDefault="00CD50BF" w:rsidP="00A95B0D">
            <w:pPr>
              <w:rPr>
                <w:rFonts w:ascii="Arial" w:hAnsi="Arial" w:cs="Arial"/>
                <w:b/>
              </w:rPr>
            </w:pPr>
            <w:r>
              <w:rPr>
                <w:rFonts w:ascii="Arial" w:hAnsi="Arial" w:cs="Arial"/>
                <w:b/>
              </w:rPr>
              <w:t xml:space="preserve">NAG2A (b)(i) Areas of strength: </w:t>
            </w:r>
            <w:r>
              <w:rPr>
                <w:rFonts w:ascii="Arial" w:hAnsi="Arial" w:cs="Arial"/>
                <w:b/>
                <w:color w:val="660033"/>
              </w:rPr>
              <w:t>Reading</w:t>
            </w:r>
            <w:r>
              <w:rPr>
                <w:rFonts w:ascii="Arial" w:hAnsi="Arial" w:cs="Arial"/>
                <w:b/>
              </w:rPr>
              <w:t xml:space="preserve"> and </w:t>
            </w:r>
            <w:r>
              <w:rPr>
                <w:rFonts w:ascii="Arial" w:hAnsi="Arial" w:cs="Arial"/>
                <w:b/>
                <w:color w:val="339933"/>
              </w:rPr>
              <w:t>Mathematics based on 2014 EOY National Standard data</w:t>
            </w:r>
          </w:p>
        </w:tc>
      </w:tr>
      <w:tr w:rsidR="00CD50BF" w14:paraId="3E993660" w14:textId="77777777" w:rsidTr="00A95B0D">
        <w:tc>
          <w:tcPr>
            <w:tcW w:w="10632" w:type="dxa"/>
            <w:tcBorders>
              <w:top w:val="single" w:sz="4" w:space="0" w:color="auto"/>
              <w:left w:val="single" w:sz="4" w:space="0" w:color="auto"/>
              <w:bottom w:val="single" w:sz="4" w:space="0" w:color="auto"/>
              <w:right w:val="single" w:sz="4" w:space="0" w:color="auto"/>
            </w:tcBorders>
          </w:tcPr>
          <w:p w14:paraId="1D957BB3" w14:textId="77777777" w:rsidR="00CD50BF" w:rsidRDefault="00CD50BF" w:rsidP="00A95B0D">
            <w:pPr>
              <w:rPr>
                <w:rFonts w:ascii="Arial" w:hAnsi="Arial" w:cs="Arial"/>
                <w:b/>
              </w:rPr>
            </w:pPr>
          </w:p>
          <w:p w14:paraId="0AB73CDA" w14:textId="77777777" w:rsidR="00CD50BF" w:rsidRDefault="00CD50BF" w:rsidP="00A95B0D">
            <w:pPr>
              <w:rPr>
                <w:rFonts w:ascii="Arial" w:hAnsi="Arial" w:cs="Arial"/>
                <w:b/>
              </w:rPr>
            </w:pPr>
            <w:r>
              <w:rPr>
                <w:rFonts w:ascii="Arial" w:hAnsi="Arial" w:cs="Arial"/>
                <w:b/>
              </w:rPr>
              <w:t xml:space="preserve">2014 </w:t>
            </w:r>
            <w:r>
              <w:rPr>
                <w:rFonts w:ascii="Arial" w:hAnsi="Arial" w:cs="Arial"/>
                <w:b/>
                <w:color w:val="339933"/>
              </w:rPr>
              <w:t>Mathematics</w:t>
            </w:r>
            <w:r>
              <w:rPr>
                <w:rFonts w:ascii="Arial" w:hAnsi="Arial" w:cs="Arial"/>
                <w:b/>
              </w:rPr>
              <w:t xml:space="preserve"> National Standards data continues to show  high levels of student achievement across the school</w:t>
            </w:r>
          </w:p>
          <w:p w14:paraId="32A61ADD" w14:textId="77777777" w:rsidR="00CD50BF" w:rsidRDefault="00CD50BF" w:rsidP="00A95B0D">
            <w:pPr>
              <w:rPr>
                <w:rFonts w:ascii="Arial" w:hAnsi="Arial" w:cs="Arial"/>
              </w:rPr>
            </w:pPr>
            <w:r>
              <w:rPr>
                <w:rFonts w:ascii="Arial" w:hAnsi="Arial" w:cs="Arial"/>
              </w:rPr>
              <w:t xml:space="preserve">At the end of 2014 we had 216/479 students (45%) across the school achieving “above” the national standard for their class level or time at school; 232/479 (48%) students “at” the national standard for their class level or time at school. This adds up to a high 93% of students “at” or “above” the national standard for their class level or time at school. 22/479 or 5% of students were “below” and 9/479 (2%) were “well below” the standard. These 7% of children have been identified and are receiving differentiated learning support within learning spaces where teachers are recognised as the main providers of this support. </w:t>
            </w:r>
          </w:p>
          <w:p w14:paraId="29615572" w14:textId="77777777" w:rsidR="00CD50BF" w:rsidRDefault="00CD50BF" w:rsidP="00A95B0D">
            <w:pPr>
              <w:rPr>
                <w:rFonts w:ascii="Arial" w:hAnsi="Arial" w:cs="Arial"/>
              </w:rPr>
            </w:pPr>
            <w:r>
              <w:rPr>
                <w:rFonts w:ascii="Arial" w:hAnsi="Arial" w:cs="Arial"/>
              </w:rPr>
              <w:t>This is a better result in the “above” category from the 2013 end of year results. Below are a comparison of 2011, 2012, 2013 and 2014 data.</w:t>
            </w:r>
          </w:p>
          <w:p w14:paraId="1617C2FE" w14:textId="77777777" w:rsidR="00CD50BF" w:rsidRPr="002767AA" w:rsidRDefault="00CD50BF" w:rsidP="00A95B0D">
            <w:pPr>
              <w:rPr>
                <w:rFonts w:ascii="Arial" w:hAnsi="Arial" w:cs="Arial"/>
              </w:rPr>
            </w:pPr>
            <w:r w:rsidRPr="002767AA">
              <w:rPr>
                <w:rFonts w:ascii="Arial" w:hAnsi="Arial" w:cs="Arial"/>
                <w:b/>
                <w:color w:val="00B050"/>
              </w:rPr>
              <w:t>2011</w:t>
            </w:r>
            <w:r w:rsidRPr="002767AA">
              <w:rPr>
                <w:rFonts w:ascii="Arial" w:hAnsi="Arial" w:cs="Arial"/>
                <w:color w:val="00B050"/>
              </w:rPr>
              <w:t xml:space="preserve"> </w:t>
            </w:r>
            <w:r w:rsidRPr="002767AA">
              <w:rPr>
                <w:rFonts w:ascii="Arial" w:hAnsi="Arial" w:cs="Arial"/>
                <w:b/>
                <w:color w:val="00B050"/>
              </w:rPr>
              <w:t xml:space="preserve">4% </w:t>
            </w:r>
            <w:r w:rsidRPr="002767AA">
              <w:rPr>
                <w:rFonts w:ascii="Arial" w:hAnsi="Arial" w:cs="Arial"/>
                <w:b/>
              </w:rPr>
              <w:t xml:space="preserve">(Well below) compared with </w:t>
            </w:r>
            <w:r w:rsidRPr="002767AA">
              <w:rPr>
                <w:rFonts w:ascii="Arial" w:hAnsi="Arial" w:cs="Arial"/>
                <w:b/>
                <w:color w:val="0070C0"/>
              </w:rPr>
              <w:t>2012 (3%</w:t>
            </w:r>
            <w:r w:rsidRPr="002767AA">
              <w:rPr>
                <w:rFonts w:ascii="Arial" w:hAnsi="Arial" w:cs="Arial"/>
                <w:b/>
              </w:rPr>
              <w:t xml:space="preserve">) </w:t>
            </w:r>
            <w:r w:rsidRPr="002767AA">
              <w:rPr>
                <w:rFonts w:ascii="Arial" w:hAnsi="Arial" w:cs="Arial"/>
                <w:b/>
                <w:color w:val="C00000"/>
              </w:rPr>
              <w:t xml:space="preserve">2013 (2%) and </w:t>
            </w:r>
            <w:r w:rsidRPr="002767AA">
              <w:rPr>
                <w:rFonts w:ascii="Arial" w:hAnsi="Arial" w:cs="Arial"/>
                <w:b/>
                <w:color w:val="00B050"/>
              </w:rPr>
              <w:t xml:space="preserve">2014 (2%) </w:t>
            </w:r>
            <w:r w:rsidRPr="002767AA">
              <w:rPr>
                <w:rFonts w:ascii="Arial" w:hAnsi="Arial" w:cs="Arial"/>
                <w:b/>
              </w:rPr>
              <w:t xml:space="preserve"> a 3-2% improvement over 4 years</w:t>
            </w:r>
          </w:p>
          <w:p w14:paraId="28A0562D" w14:textId="77777777" w:rsidR="00CD50BF" w:rsidRPr="002767AA" w:rsidRDefault="00CD50BF" w:rsidP="00A95B0D">
            <w:pPr>
              <w:ind w:left="885" w:hanging="885"/>
              <w:rPr>
                <w:rFonts w:ascii="Arial" w:hAnsi="Arial" w:cs="Arial"/>
              </w:rPr>
            </w:pPr>
            <w:r w:rsidRPr="002767AA">
              <w:rPr>
                <w:rFonts w:ascii="Arial" w:hAnsi="Arial" w:cs="Arial"/>
                <w:b/>
                <w:color w:val="00B050"/>
              </w:rPr>
              <w:t>2011</w:t>
            </w:r>
            <w:r w:rsidRPr="002767AA">
              <w:rPr>
                <w:rFonts w:ascii="Arial" w:hAnsi="Arial" w:cs="Arial"/>
                <w:color w:val="00B050"/>
              </w:rPr>
              <w:t xml:space="preserve"> </w:t>
            </w:r>
            <w:r w:rsidRPr="002767AA">
              <w:rPr>
                <w:rFonts w:ascii="Arial" w:hAnsi="Arial" w:cs="Arial"/>
                <w:b/>
                <w:color w:val="00B050"/>
              </w:rPr>
              <w:t xml:space="preserve">10% </w:t>
            </w:r>
            <w:r w:rsidRPr="002767AA">
              <w:rPr>
                <w:rFonts w:ascii="Arial" w:hAnsi="Arial" w:cs="Arial"/>
                <w:b/>
              </w:rPr>
              <w:t xml:space="preserve">(Below) compared with </w:t>
            </w:r>
            <w:r w:rsidRPr="002767AA">
              <w:rPr>
                <w:rFonts w:ascii="Arial" w:hAnsi="Arial" w:cs="Arial"/>
                <w:b/>
                <w:color w:val="0070C0"/>
              </w:rPr>
              <w:t>2012 (8%)</w:t>
            </w:r>
            <w:r w:rsidRPr="002767AA">
              <w:rPr>
                <w:rFonts w:ascii="Arial" w:hAnsi="Arial" w:cs="Arial"/>
                <w:b/>
              </w:rPr>
              <w:t xml:space="preserve"> </w:t>
            </w:r>
            <w:r w:rsidRPr="002767AA">
              <w:rPr>
                <w:rFonts w:ascii="Arial" w:hAnsi="Arial" w:cs="Arial"/>
                <w:b/>
                <w:color w:val="C00000"/>
              </w:rPr>
              <w:t>2013 (9%)</w:t>
            </w:r>
            <w:r w:rsidRPr="002767AA">
              <w:rPr>
                <w:rFonts w:ascii="Arial" w:hAnsi="Arial" w:cs="Arial"/>
                <w:b/>
              </w:rPr>
              <w:t xml:space="preserve"> </w:t>
            </w:r>
            <w:r w:rsidRPr="002767AA">
              <w:rPr>
                <w:rFonts w:ascii="Arial" w:hAnsi="Arial" w:cs="Arial"/>
                <w:b/>
                <w:color w:val="00B050"/>
              </w:rPr>
              <w:t xml:space="preserve">and 2014 (5%) </w:t>
            </w:r>
            <w:r w:rsidRPr="002767AA">
              <w:rPr>
                <w:rFonts w:ascii="Arial" w:hAnsi="Arial" w:cs="Arial"/>
                <w:b/>
              </w:rPr>
              <w:t>2014 showed a 4% lower and better result when compared to 2013 and a 5% lower and better result when compared to 2011.</w:t>
            </w:r>
          </w:p>
          <w:p w14:paraId="2A16D643" w14:textId="77777777" w:rsidR="00CD50BF" w:rsidRPr="002767AA" w:rsidRDefault="00CD50BF" w:rsidP="00A95B0D">
            <w:pPr>
              <w:ind w:left="1026" w:hanging="1026"/>
              <w:rPr>
                <w:rFonts w:ascii="Arial" w:hAnsi="Arial" w:cs="Arial"/>
                <w:b/>
              </w:rPr>
            </w:pPr>
            <w:r w:rsidRPr="002767AA">
              <w:rPr>
                <w:rFonts w:ascii="Arial" w:hAnsi="Arial" w:cs="Arial"/>
                <w:b/>
                <w:color w:val="00B050"/>
              </w:rPr>
              <w:t>2011</w:t>
            </w:r>
            <w:r w:rsidRPr="002767AA">
              <w:rPr>
                <w:rFonts w:ascii="Arial" w:hAnsi="Arial" w:cs="Arial"/>
                <w:color w:val="00B050"/>
              </w:rPr>
              <w:t xml:space="preserve"> </w:t>
            </w:r>
            <w:r w:rsidRPr="002767AA">
              <w:rPr>
                <w:rFonts w:ascii="Arial" w:hAnsi="Arial" w:cs="Arial"/>
                <w:b/>
                <w:color w:val="00B050"/>
              </w:rPr>
              <w:t>52%</w:t>
            </w:r>
            <w:r w:rsidRPr="002767AA">
              <w:rPr>
                <w:rFonts w:ascii="Arial" w:hAnsi="Arial" w:cs="Arial"/>
                <w:color w:val="00B050"/>
              </w:rPr>
              <w:t xml:space="preserve"> </w:t>
            </w:r>
            <w:r w:rsidRPr="002767AA">
              <w:rPr>
                <w:rFonts w:ascii="Arial" w:hAnsi="Arial" w:cs="Arial"/>
                <w:b/>
              </w:rPr>
              <w:t xml:space="preserve">(At) compared with </w:t>
            </w:r>
            <w:r w:rsidRPr="002767AA">
              <w:rPr>
                <w:rFonts w:ascii="Arial" w:hAnsi="Arial" w:cs="Arial"/>
                <w:b/>
                <w:color w:val="0070C0"/>
              </w:rPr>
              <w:t>2012 (47%)</w:t>
            </w:r>
            <w:r w:rsidRPr="002767AA">
              <w:rPr>
                <w:rFonts w:ascii="Arial" w:hAnsi="Arial" w:cs="Arial"/>
                <w:b/>
              </w:rPr>
              <w:t xml:space="preserve"> </w:t>
            </w:r>
            <w:r w:rsidRPr="002767AA">
              <w:rPr>
                <w:rFonts w:ascii="Arial" w:hAnsi="Arial" w:cs="Arial"/>
                <w:b/>
                <w:color w:val="C00000"/>
              </w:rPr>
              <w:t>2013 (50%)</w:t>
            </w:r>
            <w:r w:rsidRPr="002767AA">
              <w:rPr>
                <w:rFonts w:ascii="Arial" w:hAnsi="Arial" w:cs="Arial"/>
                <w:b/>
              </w:rPr>
              <w:t xml:space="preserve"> </w:t>
            </w:r>
            <w:r w:rsidRPr="002767AA">
              <w:rPr>
                <w:rFonts w:ascii="Arial" w:hAnsi="Arial" w:cs="Arial"/>
                <w:b/>
                <w:color w:val="00B050"/>
              </w:rPr>
              <w:t xml:space="preserve">and 2014 48%. </w:t>
            </w:r>
            <w:r w:rsidRPr="002767AA">
              <w:rPr>
                <w:rFonts w:ascii="Arial" w:hAnsi="Arial" w:cs="Arial"/>
                <w:b/>
              </w:rPr>
              <w:t>In 2014 there was a similar result to 2013 with more children shifting from the “at” to the “above” category.</w:t>
            </w:r>
          </w:p>
          <w:p w14:paraId="4926A0FB" w14:textId="77777777" w:rsidR="00CD50BF" w:rsidRPr="002767AA" w:rsidRDefault="00CD50BF" w:rsidP="00A95B0D">
            <w:pPr>
              <w:ind w:left="993" w:hanging="993"/>
              <w:rPr>
                <w:rFonts w:ascii="Arial" w:hAnsi="Arial" w:cs="Arial"/>
              </w:rPr>
            </w:pPr>
            <w:r w:rsidRPr="002767AA">
              <w:rPr>
                <w:rFonts w:ascii="Arial" w:hAnsi="Arial" w:cs="Arial"/>
                <w:b/>
                <w:color w:val="00B050"/>
              </w:rPr>
              <w:t>2011</w:t>
            </w:r>
            <w:r w:rsidRPr="002767AA">
              <w:rPr>
                <w:rFonts w:ascii="Arial" w:hAnsi="Arial" w:cs="Arial"/>
                <w:color w:val="00B050"/>
              </w:rPr>
              <w:t xml:space="preserve"> </w:t>
            </w:r>
            <w:r w:rsidRPr="002767AA">
              <w:rPr>
                <w:rFonts w:ascii="Arial" w:hAnsi="Arial" w:cs="Arial"/>
                <w:b/>
                <w:color w:val="00B050"/>
              </w:rPr>
              <w:t>32%</w:t>
            </w:r>
            <w:r w:rsidRPr="002767AA">
              <w:rPr>
                <w:rFonts w:ascii="Arial" w:hAnsi="Arial" w:cs="Arial"/>
                <w:color w:val="00B050"/>
              </w:rPr>
              <w:t xml:space="preserve"> </w:t>
            </w:r>
            <w:r w:rsidRPr="002767AA">
              <w:rPr>
                <w:rFonts w:ascii="Arial" w:hAnsi="Arial" w:cs="Arial"/>
                <w:b/>
              </w:rPr>
              <w:t xml:space="preserve">(Well above and Above) compared with </w:t>
            </w:r>
            <w:r w:rsidRPr="002767AA">
              <w:rPr>
                <w:rFonts w:ascii="Arial" w:hAnsi="Arial" w:cs="Arial"/>
                <w:b/>
                <w:color w:val="0070C0"/>
              </w:rPr>
              <w:t xml:space="preserve">2012 (43%) </w:t>
            </w:r>
            <w:r w:rsidRPr="002767AA">
              <w:rPr>
                <w:rFonts w:ascii="Arial" w:hAnsi="Arial" w:cs="Arial"/>
                <w:b/>
                <w:color w:val="C00000"/>
              </w:rPr>
              <w:t xml:space="preserve">2013 (39%) </w:t>
            </w:r>
            <w:r w:rsidRPr="002767AA">
              <w:rPr>
                <w:rFonts w:ascii="Arial" w:hAnsi="Arial" w:cs="Arial"/>
                <w:b/>
                <w:color w:val="00B050"/>
              </w:rPr>
              <w:t xml:space="preserve">and 2014 45%. </w:t>
            </w:r>
            <w:r w:rsidRPr="002767AA">
              <w:rPr>
                <w:rFonts w:ascii="Arial" w:hAnsi="Arial" w:cs="Arial"/>
                <w:b/>
                <w:color w:val="C00000"/>
              </w:rPr>
              <w:t xml:space="preserve"> </w:t>
            </w:r>
            <w:r w:rsidRPr="002767AA">
              <w:rPr>
                <w:rFonts w:ascii="Arial" w:hAnsi="Arial" w:cs="Arial"/>
                <w:b/>
              </w:rPr>
              <w:t xml:space="preserve"> 2014 showed a 6% better result compared to 2013 and an improved result of 13% when compared to 2011. The result is similar and slightly better than the 2012 result (+2%).</w:t>
            </w:r>
          </w:p>
          <w:p w14:paraId="69FA9273" w14:textId="77777777" w:rsidR="00CD50BF" w:rsidRPr="002767AA" w:rsidRDefault="00CD50BF" w:rsidP="00A95B0D">
            <w:pPr>
              <w:ind w:left="993" w:hanging="993"/>
              <w:rPr>
                <w:rFonts w:ascii="Arial" w:hAnsi="Arial" w:cs="Arial"/>
                <w:b/>
                <w:sz w:val="20"/>
                <w:szCs w:val="20"/>
              </w:rPr>
            </w:pPr>
          </w:p>
          <w:p w14:paraId="4CD13ABD" w14:textId="77777777" w:rsidR="00CD50BF" w:rsidRDefault="00CD50BF" w:rsidP="00A95B0D">
            <w:pPr>
              <w:ind w:left="993" w:hanging="993"/>
              <w:rPr>
                <w:rFonts w:ascii="Arial" w:hAnsi="Arial" w:cs="Arial"/>
                <w:b/>
                <w:sz w:val="20"/>
                <w:szCs w:val="20"/>
              </w:rPr>
            </w:pPr>
            <w:r>
              <w:rPr>
                <w:rFonts w:ascii="Arial" w:hAnsi="Arial" w:cs="Arial"/>
                <w:noProof/>
                <w:sz w:val="20"/>
                <w:szCs w:val="20"/>
                <w:lang w:val="en-US"/>
              </w:rPr>
              <w:drawing>
                <wp:inline distT="0" distB="0" distL="0" distR="0" wp14:anchorId="2200297C" wp14:editId="7B44426D">
                  <wp:extent cx="4568190" cy="2739390"/>
                  <wp:effectExtent l="0" t="0" r="22860" b="2286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C75342" w14:textId="77777777" w:rsidR="00CD50BF" w:rsidRDefault="00CD50BF" w:rsidP="00A95B0D">
            <w:pPr>
              <w:rPr>
                <w:rFonts w:ascii="Arial" w:hAnsi="Arial" w:cs="Arial"/>
              </w:rPr>
            </w:pPr>
            <w:r>
              <w:rPr>
                <w:rFonts w:ascii="Arial" w:hAnsi="Arial" w:cs="Arial"/>
              </w:rPr>
              <w:t xml:space="preserve">The 2014 mathematics results continue to be pleasing and should be celebrated. Cashmere Primary School has continued high levels of achievement across the school for both genders and has made significant gains in the “above” and “at” categories when compared to data from 2011. </w:t>
            </w:r>
          </w:p>
          <w:p w14:paraId="26D1C25A" w14:textId="77777777" w:rsidR="00CD50BF" w:rsidRPr="008B3B3A" w:rsidRDefault="00CD50BF" w:rsidP="00A95B0D">
            <w:pPr>
              <w:rPr>
                <w:rFonts w:ascii="Arial" w:hAnsi="Arial" w:cs="Arial"/>
              </w:rPr>
            </w:pPr>
            <w:r>
              <w:rPr>
                <w:rFonts w:ascii="Arial" w:hAnsi="Arial" w:cs="Arial"/>
              </w:rPr>
              <w:t>There is improvement in the number of children in the “above” category in 2014 following a trend since 2011 and reversing the dip in 2013. Children in the below and well below categories have reduced since 2011 and this needs to be celebrated. Further discussion on which teaching and learning strategies are resulting in this improvement will be had to determine targets and next steps for 2015.</w:t>
            </w:r>
          </w:p>
          <w:p w14:paraId="5819B316" w14:textId="77777777" w:rsidR="00CD50BF" w:rsidRDefault="00CD50BF" w:rsidP="00A95B0D">
            <w:pPr>
              <w:rPr>
                <w:rFonts w:ascii="Arial" w:hAnsi="Arial" w:cs="Arial"/>
                <w:b/>
              </w:rPr>
            </w:pPr>
            <w:r>
              <w:rPr>
                <w:rFonts w:ascii="Arial" w:hAnsi="Arial" w:cs="Arial"/>
                <w:b/>
              </w:rPr>
              <w:t xml:space="preserve">2014 </w:t>
            </w:r>
            <w:r w:rsidRPr="00DC7859">
              <w:rPr>
                <w:rFonts w:ascii="Arial" w:hAnsi="Arial" w:cs="Arial"/>
                <w:b/>
                <w:color w:val="C0504D"/>
              </w:rPr>
              <w:t>Reading</w:t>
            </w:r>
            <w:r>
              <w:rPr>
                <w:rFonts w:ascii="Arial" w:hAnsi="Arial" w:cs="Arial"/>
                <w:b/>
                <w:color w:val="660033"/>
              </w:rPr>
              <w:t xml:space="preserve"> </w:t>
            </w:r>
            <w:r>
              <w:rPr>
                <w:rFonts w:ascii="Arial" w:hAnsi="Arial" w:cs="Arial"/>
                <w:b/>
              </w:rPr>
              <w:t>National Standards data continues to show  high levels of student achievement across the school</w:t>
            </w:r>
          </w:p>
          <w:p w14:paraId="6CF83C44" w14:textId="77777777" w:rsidR="00CD50BF" w:rsidRDefault="00CD50BF" w:rsidP="00A95B0D">
            <w:pPr>
              <w:rPr>
                <w:rFonts w:ascii="Arial" w:hAnsi="Arial" w:cs="Arial"/>
              </w:rPr>
            </w:pPr>
            <w:r>
              <w:rPr>
                <w:rFonts w:ascii="Arial" w:hAnsi="Arial" w:cs="Arial"/>
              </w:rPr>
              <w:t xml:space="preserve">At the end of the 2014 year we had 212/479 students (44%) achieving “above” and 230/479 (48%) achieving “at” the national standard for their class level or time at school. This adds up to 442/479 (92%) of students “at” or “above” the standard. 29/479 (6%) of students achieved “below” and 8/479 (2%) students achieved “well below” the national standard for their class level or time at school. </w:t>
            </w:r>
          </w:p>
          <w:p w14:paraId="0A2CDE6A" w14:textId="77777777" w:rsidR="00CD50BF" w:rsidRPr="008B3B3A" w:rsidRDefault="00CD50BF" w:rsidP="00A95B0D">
            <w:pPr>
              <w:rPr>
                <w:rFonts w:ascii="Arial" w:hAnsi="Arial" w:cs="Arial"/>
              </w:rPr>
            </w:pPr>
            <w:r>
              <w:rPr>
                <w:rFonts w:ascii="Arial" w:hAnsi="Arial" w:cs="Arial"/>
              </w:rPr>
              <w:t>These (8%) of children have been identified and are receiving differentiated learning support within learning spaces where teachers are recognised as the main provider of this support.</w:t>
            </w:r>
          </w:p>
          <w:p w14:paraId="765D3696" w14:textId="77777777" w:rsidR="00CD50BF" w:rsidRPr="008B3B3A" w:rsidRDefault="00CD50BF" w:rsidP="00A95B0D">
            <w:pPr>
              <w:rPr>
                <w:rFonts w:ascii="Arial" w:hAnsi="Arial" w:cs="Arial"/>
              </w:rPr>
            </w:pPr>
            <w:r w:rsidRPr="002767AA">
              <w:rPr>
                <w:rFonts w:ascii="Arial" w:hAnsi="Arial" w:cs="Arial"/>
                <w:b/>
                <w:color w:val="0070C0"/>
              </w:rPr>
              <w:t xml:space="preserve">2014 results in Reading </w:t>
            </w:r>
            <w:r w:rsidRPr="002767AA">
              <w:rPr>
                <w:rFonts w:ascii="Arial" w:hAnsi="Arial" w:cs="Arial"/>
              </w:rPr>
              <w:t>were similar and improved from the 2011, 2012 and 2013 end of year results. See below</w:t>
            </w:r>
          </w:p>
          <w:p w14:paraId="71040D87" w14:textId="77777777" w:rsidR="00CD50BF" w:rsidRPr="002767AA" w:rsidRDefault="00CD50BF" w:rsidP="00A95B0D">
            <w:pPr>
              <w:rPr>
                <w:rFonts w:ascii="Arial" w:hAnsi="Arial" w:cs="Arial"/>
                <w:b/>
              </w:rPr>
            </w:pPr>
            <w:r w:rsidRPr="002767AA">
              <w:rPr>
                <w:rFonts w:ascii="Arial" w:hAnsi="Arial" w:cs="Arial"/>
                <w:b/>
                <w:color w:val="00B050"/>
              </w:rPr>
              <w:t>2011 1-2%</w:t>
            </w:r>
            <w:r w:rsidRPr="002767AA">
              <w:rPr>
                <w:rFonts w:ascii="Arial" w:hAnsi="Arial" w:cs="Arial"/>
                <w:b/>
              </w:rPr>
              <w:t xml:space="preserve"> (well below) compared with </w:t>
            </w:r>
            <w:r w:rsidRPr="002767AA">
              <w:rPr>
                <w:rFonts w:ascii="Arial" w:hAnsi="Arial" w:cs="Arial"/>
                <w:b/>
                <w:color w:val="00B0F0"/>
              </w:rPr>
              <w:t>2012 (1-2%)</w:t>
            </w:r>
            <w:r w:rsidRPr="002767AA">
              <w:rPr>
                <w:rFonts w:ascii="Arial" w:hAnsi="Arial" w:cs="Arial"/>
                <w:b/>
              </w:rPr>
              <w:t xml:space="preserve"> compared with </w:t>
            </w:r>
            <w:r w:rsidRPr="002767AA">
              <w:rPr>
                <w:rFonts w:ascii="Arial" w:hAnsi="Arial" w:cs="Arial"/>
                <w:b/>
                <w:color w:val="C00000"/>
              </w:rPr>
              <w:t xml:space="preserve">2013 (1-2%) </w:t>
            </w:r>
            <w:r w:rsidRPr="002767AA">
              <w:rPr>
                <w:rFonts w:ascii="Arial" w:hAnsi="Arial" w:cs="Arial"/>
                <w:b/>
                <w:color w:val="00B050"/>
              </w:rPr>
              <w:t xml:space="preserve">and compared with 2014 (2%)  </w:t>
            </w:r>
            <w:r w:rsidRPr="002767AA">
              <w:rPr>
                <w:rFonts w:ascii="Arial" w:hAnsi="Arial" w:cs="Arial"/>
                <w:b/>
              </w:rPr>
              <w:t>Again a similar result in 2014</w:t>
            </w:r>
          </w:p>
          <w:p w14:paraId="4387E9C1" w14:textId="77777777" w:rsidR="00CD50BF" w:rsidRPr="002767AA" w:rsidRDefault="00CD50BF" w:rsidP="00A95B0D">
            <w:pPr>
              <w:rPr>
                <w:rFonts w:ascii="Arial" w:hAnsi="Arial" w:cs="Arial"/>
                <w:b/>
              </w:rPr>
            </w:pPr>
            <w:r w:rsidRPr="002767AA">
              <w:rPr>
                <w:rFonts w:ascii="Arial" w:hAnsi="Arial" w:cs="Arial"/>
                <w:b/>
                <w:color w:val="00B050"/>
              </w:rPr>
              <w:t xml:space="preserve">2011 7% </w:t>
            </w:r>
            <w:r w:rsidRPr="002767AA">
              <w:rPr>
                <w:rFonts w:ascii="Arial" w:hAnsi="Arial" w:cs="Arial"/>
                <w:b/>
              </w:rPr>
              <w:t xml:space="preserve">(below) compared with </w:t>
            </w:r>
            <w:r w:rsidRPr="002767AA">
              <w:rPr>
                <w:rFonts w:ascii="Arial" w:hAnsi="Arial" w:cs="Arial"/>
                <w:b/>
                <w:color w:val="00B0F0"/>
              </w:rPr>
              <w:t>2012 (8%)</w:t>
            </w:r>
            <w:r w:rsidRPr="002767AA">
              <w:rPr>
                <w:rFonts w:ascii="Arial" w:hAnsi="Arial" w:cs="Arial"/>
                <w:b/>
              </w:rPr>
              <w:t xml:space="preserve"> compared with </w:t>
            </w:r>
            <w:r w:rsidRPr="002767AA">
              <w:rPr>
                <w:rFonts w:ascii="Arial" w:hAnsi="Arial" w:cs="Arial"/>
                <w:b/>
                <w:color w:val="C00000"/>
              </w:rPr>
              <w:t xml:space="preserve">2013 (8%) </w:t>
            </w:r>
            <w:r w:rsidRPr="002767AA">
              <w:rPr>
                <w:rFonts w:ascii="Arial" w:hAnsi="Arial" w:cs="Arial"/>
                <w:b/>
                <w:color w:val="00B050"/>
              </w:rPr>
              <w:t>and compared with</w:t>
            </w:r>
            <w:r w:rsidRPr="002767AA">
              <w:rPr>
                <w:rFonts w:ascii="Arial" w:hAnsi="Arial" w:cs="Arial"/>
                <w:b/>
                <w:color w:val="C00000"/>
              </w:rPr>
              <w:t xml:space="preserve"> </w:t>
            </w:r>
            <w:r w:rsidRPr="002767AA">
              <w:rPr>
                <w:rFonts w:ascii="Arial" w:hAnsi="Arial" w:cs="Arial"/>
                <w:b/>
                <w:color w:val="00B050"/>
              </w:rPr>
              <w:t xml:space="preserve">2014 (8%) </w:t>
            </w:r>
            <w:r w:rsidRPr="002767AA">
              <w:rPr>
                <w:rFonts w:ascii="Arial" w:hAnsi="Arial" w:cs="Arial"/>
                <w:b/>
              </w:rPr>
              <w:t>A similar result to 2011, 2012 and 2013.</w:t>
            </w:r>
          </w:p>
          <w:p w14:paraId="501F78BD" w14:textId="77777777" w:rsidR="00CD50BF" w:rsidRPr="002767AA" w:rsidRDefault="00CD50BF" w:rsidP="00A95B0D">
            <w:pPr>
              <w:rPr>
                <w:rFonts w:ascii="Arial" w:hAnsi="Arial" w:cs="Arial"/>
                <w:b/>
              </w:rPr>
            </w:pPr>
            <w:r w:rsidRPr="002767AA">
              <w:rPr>
                <w:rFonts w:ascii="Arial" w:hAnsi="Arial" w:cs="Arial"/>
                <w:b/>
                <w:color w:val="00B050"/>
              </w:rPr>
              <w:t xml:space="preserve">2011 41% </w:t>
            </w:r>
            <w:r w:rsidRPr="002767AA">
              <w:rPr>
                <w:rFonts w:ascii="Arial" w:hAnsi="Arial" w:cs="Arial"/>
                <w:b/>
              </w:rPr>
              <w:t xml:space="preserve">(at) compared with </w:t>
            </w:r>
            <w:r w:rsidRPr="002767AA">
              <w:rPr>
                <w:rFonts w:ascii="Arial" w:hAnsi="Arial" w:cs="Arial"/>
                <w:b/>
                <w:color w:val="00B0F0"/>
              </w:rPr>
              <w:t xml:space="preserve">2012 (40%) </w:t>
            </w:r>
            <w:r w:rsidRPr="002767AA">
              <w:rPr>
                <w:rFonts w:ascii="Arial" w:hAnsi="Arial" w:cs="Arial"/>
                <w:b/>
              </w:rPr>
              <w:t>compared with</w:t>
            </w:r>
            <w:r w:rsidRPr="002767AA">
              <w:rPr>
                <w:rFonts w:ascii="Arial" w:hAnsi="Arial" w:cs="Arial"/>
                <w:b/>
                <w:color w:val="00B0F0"/>
              </w:rPr>
              <w:t xml:space="preserve"> </w:t>
            </w:r>
            <w:r w:rsidRPr="002767AA">
              <w:rPr>
                <w:rFonts w:ascii="Arial" w:hAnsi="Arial" w:cs="Arial"/>
                <w:b/>
                <w:color w:val="C00000"/>
              </w:rPr>
              <w:t>2013</w:t>
            </w:r>
            <w:r w:rsidRPr="002767AA">
              <w:rPr>
                <w:rFonts w:ascii="Arial" w:hAnsi="Arial" w:cs="Arial"/>
                <w:b/>
                <w:color w:val="00B0F0"/>
              </w:rPr>
              <w:t xml:space="preserve"> </w:t>
            </w:r>
            <w:r w:rsidRPr="002767AA">
              <w:rPr>
                <w:rFonts w:ascii="Arial" w:hAnsi="Arial" w:cs="Arial"/>
                <w:b/>
                <w:color w:val="C00000"/>
              </w:rPr>
              <w:t xml:space="preserve">(47%) </w:t>
            </w:r>
            <w:r w:rsidRPr="002767AA">
              <w:rPr>
                <w:rFonts w:ascii="Arial" w:hAnsi="Arial" w:cs="Arial"/>
                <w:b/>
                <w:color w:val="00B050"/>
              </w:rPr>
              <w:t>and</w:t>
            </w:r>
            <w:r w:rsidRPr="002767AA">
              <w:rPr>
                <w:rFonts w:ascii="Arial" w:hAnsi="Arial" w:cs="Arial"/>
                <w:b/>
                <w:color w:val="C00000"/>
              </w:rPr>
              <w:t xml:space="preserve"> </w:t>
            </w:r>
            <w:r w:rsidRPr="002767AA">
              <w:rPr>
                <w:rFonts w:ascii="Arial" w:hAnsi="Arial" w:cs="Arial"/>
                <w:b/>
                <w:color w:val="00B050"/>
              </w:rPr>
              <w:t xml:space="preserve">compared with 2014 (48%) </w:t>
            </w:r>
            <w:r w:rsidRPr="002767AA">
              <w:rPr>
                <w:rFonts w:ascii="Arial" w:hAnsi="Arial" w:cs="Arial"/>
                <w:b/>
                <w:color w:val="00B0F0"/>
              </w:rPr>
              <w:t xml:space="preserve"> </w:t>
            </w:r>
            <w:r w:rsidRPr="002767AA">
              <w:rPr>
                <w:rFonts w:ascii="Arial" w:hAnsi="Arial" w:cs="Arial"/>
                <w:b/>
              </w:rPr>
              <w:t>A trend from 2011 to 2014 shows an increase in numbers in this category (from 41% to 48%).</w:t>
            </w:r>
          </w:p>
          <w:p w14:paraId="6267CC84" w14:textId="77777777" w:rsidR="00CD50BF" w:rsidRPr="002767AA" w:rsidRDefault="00CD50BF" w:rsidP="00A95B0D">
            <w:pPr>
              <w:rPr>
                <w:rFonts w:ascii="Arial" w:hAnsi="Arial" w:cs="Arial"/>
                <w:b/>
              </w:rPr>
            </w:pPr>
            <w:r w:rsidRPr="002767AA">
              <w:rPr>
                <w:rFonts w:ascii="Arial" w:hAnsi="Arial" w:cs="Arial"/>
                <w:b/>
                <w:color w:val="00B050"/>
              </w:rPr>
              <w:t>2011 49%</w:t>
            </w:r>
            <w:r w:rsidRPr="002767AA">
              <w:rPr>
                <w:rFonts w:ascii="Arial" w:hAnsi="Arial" w:cs="Arial"/>
                <w:b/>
              </w:rPr>
              <w:t xml:space="preserve"> (above) compared with </w:t>
            </w:r>
            <w:r w:rsidRPr="002767AA">
              <w:rPr>
                <w:rFonts w:ascii="Arial" w:hAnsi="Arial" w:cs="Arial"/>
                <w:b/>
                <w:color w:val="00B0F0"/>
              </w:rPr>
              <w:t>2012 (50%)</w:t>
            </w:r>
            <w:r w:rsidRPr="002767AA">
              <w:rPr>
                <w:rFonts w:ascii="Arial" w:hAnsi="Arial" w:cs="Arial"/>
                <w:b/>
              </w:rPr>
              <w:t xml:space="preserve"> compared with</w:t>
            </w:r>
            <w:r w:rsidRPr="002767AA">
              <w:rPr>
                <w:rFonts w:ascii="Arial" w:hAnsi="Arial" w:cs="Arial"/>
                <w:b/>
                <w:color w:val="00B0F0"/>
              </w:rPr>
              <w:t xml:space="preserve"> </w:t>
            </w:r>
            <w:r w:rsidRPr="002767AA">
              <w:rPr>
                <w:rFonts w:ascii="Arial" w:hAnsi="Arial" w:cs="Arial"/>
                <w:b/>
                <w:color w:val="C00000"/>
              </w:rPr>
              <w:t>2013</w:t>
            </w:r>
            <w:r w:rsidRPr="002767AA">
              <w:rPr>
                <w:rFonts w:ascii="Arial" w:hAnsi="Arial" w:cs="Arial"/>
                <w:b/>
                <w:color w:val="00B0F0"/>
              </w:rPr>
              <w:t xml:space="preserve"> </w:t>
            </w:r>
            <w:r w:rsidRPr="002767AA">
              <w:rPr>
                <w:rFonts w:ascii="Arial" w:hAnsi="Arial" w:cs="Arial"/>
                <w:b/>
                <w:color w:val="C00000"/>
              </w:rPr>
              <w:t xml:space="preserve">(44%) </w:t>
            </w:r>
            <w:r w:rsidRPr="002767AA">
              <w:rPr>
                <w:rFonts w:ascii="Arial" w:hAnsi="Arial" w:cs="Arial"/>
                <w:b/>
                <w:color w:val="00B050"/>
              </w:rPr>
              <w:t>and</w:t>
            </w:r>
            <w:r w:rsidRPr="002767AA">
              <w:rPr>
                <w:rFonts w:ascii="Arial" w:hAnsi="Arial" w:cs="Arial"/>
                <w:b/>
                <w:color w:val="C00000"/>
              </w:rPr>
              <w:t xml:space="preserve"> </w:t>
            </w:r>
            <w:r w:rsidRPr="002767AA">
              <w:rPr>
                <w:rFonts w:ascii="Arial" w:hAnsi="Arial" w:cs="Arial"/>
                <w:b/>
                <w:color w:val="00B050"/>
              </w:rPr>
              <w:t xml:space="preserve">compared with 2014 (44%) </w:t>
            </w:r>
            <w:r w:rsidRPr="002767AA">
              <w:rPr>
                <w:rFonts w:ascii="Arial" w:hAnsi="Arial" w:cs="Arial"/>
                <w:b/>
                <w:color w:val="00B0F0"/>
              </w:rPr>
              <w:t xml:space="preserve"> </w:t>
            </w:r>
            <w:r w:rsidRPr="002767AA">
              <w:rPr>
                <w:rFonts w:ascii="Arial" w:hAnsi="Arial" w:cs="Arial"/>
                <w:b/>
              </w:rPr>
              <w:t>An drop in 2013 and 2014 in favour of the “at” Category</w:t>
            </w:r>
          </w:p>
          <w:p w14:paraId="431DC656" w14:textId="77777777" w:rsidR="00CD50BF" w:rsidRDefault="00CD50BF" w:rsidP="00A95B0D">
            <w:pPr>
              <w:rPr>
                <w:rFonts w:ascii="Arial" w:hAnsi="Arial" w:cs="Arial"/>
                <w:b/>
                <w:sz w:val="20"/>
                <w:szCs w:val="20"/>
              </w:rPr>
            </w:pPr>
          </w:p>
          <w:p w14:paraId="684E97AC" w14:textId="77777777" w:rsidR="00CD50BF" w:rsidRDefault="00CD50BF" w:rsidP="00A95B0D">
            <w:pPr>
              <w:ind w:left="993" w:hanging="993"/>
              <w:rPr>
                <w:rFonts w:ascii="Arial" w:hAnsi="Arial" w:cs="Arial"/>
                <w:b/>
                <w:sz w:val="20"/>
                <w:szCs w:val="20"/>
              </w:rPr>
            </w:pPr>
            <w:r>
              <w:rPr>
                <w:rFonts w:ascii="Arial" w:hAnsi="Arial" w:cs="Arial"/>
                <w:b/>
                <w:sz w:val="20"/>
                <w:szCs w:val="20"/>
              </w:rPr>
              <w:t>.</w:t>
            </w:r>
            <w:r>
              <w:rPr>
                <w:noProof/>
                <w:lang w:eastAsia="en-NZ"/>
              </w:rPr>
              <w:t xml:space="preserve"> </w:t>
            </w:r>
            <w:r>
              <w:rPr>
                <w:noProof/>
                <w:lang w:val="en-US"/>
              </w:rPr>
              <w:drawing>
                <wp:inline distT="0" distB="0" distL="0" distR="0" wp14:anchorId="04B53B46" wp14:editId="37AFA0A8">
                  <wp:extent cx="3930650" cy="2515870"/>
                  <wp:effectExtent l="0" t="0" r="12700" b="1778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1D97CC" w14:textId="77777777" w:rsidR="00CD50BF" w:rsidRDefault="00CD50BF" w:rsidP="00A95B0D">
            <w:pPr>
              <w:rPr>
                <w:rFonts w:ascii="Arial" w:hAnsi="Arial" w:cs="Arial"/>
              </w:rPr>
            </w:pPr>
            <w:r>
              <w:rPr>
                <w:rFonts w:ascii="Arial" w:hAnsi="Arial" w:cs="Arial"/>
                <w:b/>
                <w:color w:val="0000CC"/>
              </w:rPr>
              <w:t xml:space="preserve">The reading results are pleasing and should be celebrated </w:t>
            </w:r>
            <w:r>
              <w:rPr>
                <w:rFonts w:ascii="Arial" w:hAnsi="Arial" w:cs="Arial"/>
              </w:rPr>
              <w:t>because we have managed to hold our high levels of achievement across the school in the number of students in the “at” or “above” combined category. A drop in percentage of students (5-6%) from the “above” category to the “at” category in 2013 and 2014 requires further investigation.</w:t>
            </w:r>
          </w:p>
          <w:p w14:paraId="4C553FAE" w14:textId="77777777" w:rsidR="00CD50BF" w:rsidRPr="008B3B3A" w:rsidRDefault="00CD50BF" w:rsidP="00A95B0D">
            <w:pPr>
              <w:rPr>
                <w:rFonts w:ascii="Arial" w:hAnsi="Arial" w:cs="Arial"/>
                <w:b/>
              </w:rPr>
            </w:pPr>
            <w:r>
              <w:rPr>
                <w:rFonts w:ascii="Arial" w:hAnsi="Arial" w:cs="Arial"/>
                <w:b/>
              </w:rPr>
              <w:t xml:space="preserve">Achievement by Māori: </w:t>
            </w:r>
            <w:r>
              <w:rPr>
                <w:rFonts w:ascii="Arial" w:hAnsi="Arial" w:cs="Arial"/>
                <w:b/>
                <w:color w:val="660033"/>
                <w:highlight w:val="yellow"/>
              </w:rPr>
              <w:t>Reading</w:t>
            </w:r>
            <w:r>
              <w:rPr>
                <w:rFonts w:ascii="Arial" w:hAnsi="Arial" w:cs="Arial"/>
                <w:b/>
              </w:rPr>
              <w:t xml:space="preserve"> and in </w:t>
            </w:r>
            <w:r>
              <w:rPr>
                <w:rFonts w:ascii="Arial" w:hAnsi="Arial" w:cs="Arial"/>
                <w:b/>
                <w:color w:val="339933"/>
              </w:rPr>
              <w:t>Mathematics</w:t>
            </w:r>
            <w:r>
              <w:rPr>
                <w:rFonts w:ascii="Arial" w:hAnsi="Arial" w:cs="Arial"/>
                <w:b/>
              </w:rPr>
              <w:t>: N. = 25</w:t>
            </w:r>
          </w:p>
          <w:p w14:paraId="7D78D67E" w14:textId="77777777" w:rsidR="00CD50BF" w:rsidRPr="00361101" w:rsidRDefault="00CD50BF" w:rsidP="00A95B0D">
            <w:pPr>
              <w:rPr>
                <w:rFonts w:ascii="Arial" w:hAnsi="Arial" w:cs="Arial"/>
                <w:b/>
                <w:color w:val="00B050"/>
              </w:rPr>
            </w:pPr>
            <w:r>
              <w:rPr>
                <w:rFonts w:ascii="Arial" w:hAnsi="Arial" w:cs="Arial"/>
                <w:b/>
                <w:color w:val="00B050"/>
              </w:rPr>
              <w:t xml:space="preserve">In 2014 </w:t>
            </w:r>
            <w:r w:rsidRPr="001F2D0B">
              <w:rPr>
                <w:rFonts w:ascii="Arial" w:hAnsi="Arial" w:cs="Arial"/>
              </w:rPr>
              <w:t>21/25</w:t>
            </w:r>
            <w:r>
              <w:rPr>
                <w:rFonts w:ascii="Arial" w:hAnsi="Arial" w:cs="Arial"/>
              </w:rPr>
              <w:t xml:space="preserve"> (84%) of Māori students were “at” or “above” the national standard in Reading compared to 442/479 (92%) of European students. A -8% difference in favour of non-Māori students</w:t>
            </w:r>
          </w:p>
          <w:p w14:paraId="1FC98946" w14:textId="77777777" w:rsidR="00CD50BF" w:rsidRDefault="00CD50BF" w:rsidP="00A95B0D">
            <w:pPr>
              <w:rPr>
                <w:rFonts w:ascii="Arial" w:hAnsi="Arial" w:cs="Arial"/>
              </w:rPr>
            </w:pPr>
            <w:r>
              <w:rPr>
                <w:rFonts w:ascii="Arial" w:hAnsi="Arial" w:cs="Arial"/>
                <w:b/>
                <w:color w:val="C00000"/>
              </w:rPr>
              <w:t>In 2013</w:t>
            </w:r>
            <w:r>
              <w:rPr>
                <w:rFonts w:ascii="Arial" w:hAnsi="Arial" w:cs="Arial"/>
              </w:rPr>
              <w:t xml:space="preserve"> 15/18 (83%) of Māori students were “at” or “above” the national standard in </w:t>
            </w:r>
            <w:r>
              <w:rPr>
                <w:rFonts w:ascii="Arial" w:hAnsi="Arial" w:cs="Arial"/>
                <w:color w:val="660033"/>
                <w:highlight w:val="yellow"/>
              </w:rPr>
              <w:t>Reading</w:t>
            </w:r>
            <w:r>
              <w:rPr>
                <w:rFonts w:ascii="Arial" w:hAnsi="Arial" w:cs="Arial"/>
              </w:rPr>
              <w:t xml:space="preserve"> compared to 376/413 (91%) of NZ European students. A -8% difference in favour of non-Māori students</w:t>
            </w:r>
          </w:p>
          <w:p w14:paraId="11A412AE" w14:textId="77777777" w:rsidR="00CD50BF" w:rsidRDefault="00CD50BF" w:rsidP="00A95B0D">
            <w:pPr>
              <w:rPr>
                <w:rFonts w:ascii="Arial" w:hAnsi="Arial" w:cs="Arial"/>
              </w:rPr>
            </w:pPr>
            <w:r>
              <w:rPr>
                <w:rFonts w:ascii="Arial" w:hAnsi="Arial" w:cs="Arial"/>
                <w:b/>
                <w:color w:val="00B0F0"/>
              </w:rPr>
              <w:t>In 2012</w:t>
            </w:r>
            <w:r>
              <w:rPr>
                <w:rFonts w:ascii="Arial" w:hAnsi="Arial" w:cs="Arial"/>
              </w:rPr>
              <w:t xml:space="preserve"> (77%) of Māori students were “at” or “above” the national standard in </w:t>
            </w:r>
            <w:r>
              <w:rPr>
                <w:rFonts w:ascii="Arial" w:hAnsi="Arial" w:cs="Arial"/>
                <w:color w:val="660033"/>
                <w:highlight w:val="yellow"/>
              </w:rPr>
              <w:t>Reading</w:t>
            </w:r>
            <w:r>
              <w:rPr>
                <w:rFonts w:ascii="Arial" w:hAnsi="Arial" w:cs="Arial"/>
              </w:rPr>
              <w:t xml:space="preserve"> compared to (92%) of NZ European students. </w:t>
            </w:r>
          </w:p>
          <w:p w14:paraId="5E6D654A" w14:textId="77777777" w:rsidR="00CD50BF" w:rsidRDefault="00CD50BF" w:rsidP="00A95B0D">
            <w:pPr>
              <w:rPr>
                <w:rFonts w:ascii="Arial" w:hAnsi="Arial" w:cs="Arial"/>
              </w:rPr>
            </w:pPr>
            <w:r>
              <w:rPr>
                <w:rFonts w:ascii="Arial" w:hAnsi="Arial" w:cs="Arial"/>
              </w:rPr>
              <w:t>A -15% difference in favour of non-Māori students.</w:t>
            </w:r>
          </w:p>
          <w:p w14:paraId="25D3BE0C" w14:textId="77777777" w:rsidR="00CD50BF" w:rsidRDefault="00CD50BF" w:rsidP="00A95B0D">
            <w:pPr>
              <w:rPr>
                <w:rFonts w:ascii="Arial" w:hAnsi="Arial" w:cs="Arial"/>
              </w:rPr>
            </w:pPr>
            <w:r>
              <w:rPr>
                <w:rFonts w:ascii="Arial" w:hAnsi="Arial" w:cs="Arial"/>
                <w:b/>
                <w:color w:val="00B050"/>
              </w:rPr>
              <w:t>In 2011</w:t>
            </w:r>
            <w:r>
              <w:rPr>
                <w:rFonts w:ascii="Arial" w:hAnsi="Arial" w:cs="Arial"/>
                <w:color w:val="00B050"/>
              </w:rPr>
              <w:t xml:space="preserve"> </w:t>
            </w:r>
            <w:r>
              <w:rPr>
                <w:rFonts w:ascii="Arial" w:hAnsi="Arial" w:cs="Arial"/>
              </w:rPr>
              <w:t xml:space="preserve">(72%) of Māori students were “at” or “above” the national standard in </w:t>
            </w:r>
            <w:r>
              <w:rPr>
                <w:rFonts w:ascii="Arial" w:hAnsi="Arial" w:cs="Arial"/>
                <w:color w:val="660033"/>
                <w:highlight w:val="yellow"/>
              </w:rPr>
              <w:t>Reading</w:t>
            </w:r>
            <w:r>
              <w:rPr>
                <w:rFonts w:ascii="Arial" w:hAnsi="Arial" w:cs="Arial"/>
              </w:rPr>
              <w:t xml:space="preserve"> compared to (92%) of NZ European students. </w:t>
            </w:r>
          </w:p>
          <w:p w14:paraId="472E96FE" w14:textId="77777777" w:rsidR="00CD50BF" w:rsidRDefault="00CD50BF" w:rsidP="00A95B0D">
            <w:pPr>
              <w:rPr>
                <w:rFonts w:ascii="Arial" w:hAnsi="Arial" w:cs="Arial"/>
              </w:rPr>
            </w:pPr>
            <w:r>
              <w:rPr>
                <w:rFonts w:ascii="Arial" w:hAnsi="Arial" w:cs="Arial"/>
              </w:rPr>
              <w:t>A -20% difference in favour of non-Māori students.</w:t>
            </w:r>
          </w:p>
          <w:p w14:paraId="616376CC" w14:textId="77777777" w:rsidR="00CD50BF" w:rsidRDefault="00CD50BF" w:rsidP="00A95B0D">
            <w:pPr>
              <w:rPr>
                <w:rFonts w:ascii="Arial" w:hAnsi="Arial" w:cs="Arial"/>
              </w:rPr>
            </w:pPr>
            <w:r>
              <w:rPr>
                <w:rFonts w:ascii="Arial" w:hAnsi="Arial" w:cs="Arial"/>
              </w:rPr>
              <w:t>The 2014 results continues the upward movement of reading achievement for Māori students since 2011 (72%) to 2012 (77%) to 2013 (83%) and in 2014 (84%). A pleasing 12% improvement since 2011. The 2014 results also continue to narrow the gap between non – Māori and Māori students from 20% difference in 2011 – an 8% difference in 2014</w:t>
            </w:r>
          </w:p>
          <w:p w14:paraId="3FD158DC" w14:textId="77777777" w:rsidR="00CD50BF" w:rsidRDefault="00CD50BF" w:rsidP="00A95B0D">
            <w:pPr>
              <w:rPr>
                <w:rFonts w:ascii="Arial" w:hAnsi="Arial" w:cs="Arial"/>
              </w:rPr>
            </w:pPr>
          </w:p>
          <w:p w14:paraId="5D4AC736" w14:textId="77777777" w:rsidR="00CD50BF" w:rsidRDefault="00CD50BF" w:rsidP="00A95B0D">
            <w:pPr>
              <w:rPr>
                <w:rFonts w:ascii="Arial" w:hAnsi="Arial" w:cs="Arial"/>
              </w:rPr>
            </w:pPr>
            <w:r>
              <w:rPr>
                <w:noProof/>
                <w:lang w:val="en-US"/>
              </w:rPr>
              <w:drawing>
                <wp:inline distT="0" distB="0" distL="0" distR="0" wp14:anchorId="67B317A8" wp14:editId="5C9F84EF">
                  <wp:extent cx="3547745" cy="1925955"/>
                  <wp:effectExtent l="0" t="0" r="14605" b="1714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C953E9" w14:textId="77777777" w:rsidR="00CD50BF" w:rsidRDefault="00CD50BF" w:rsidP="00A95B0D">
            <w:pPr>
              <w:rPr>
                <w:rFonts w:ascii="Arial" w:hAnsi="Arial" w:cs="Arial"/>
                <w:b/>
                <w:color w:val="00B050"/>
              </w:rPr>
            </w:pPr>
          </w:p>
          <w:p w14:paraId="7EA4DDB1" w14:textId="77777777" w:rsidR="00CD50BF" w:rsidRDefault="00CD50BF" w:rsidP="00A95B0D">
            <w:pPr>
              <w:rPr>
                <w:rFonts w:ascii="Arial" w:hAnsi="Arial" w:cs="Arial"/>
              </w:rPr>
            </w:pPr>
            <w:r w:rsidRPr="00B06902">
              <w:rPr>
                <w:rFonts w:ascii="Arial" w:hAnsi="Arial" w:cs="Arial"/>
                <w:b/>
                <w:color w:val="00B050"/>
              </w:rPr>
              <w:t>In 2014</w:t>
            </w:r>
            <w:r>
              <w:rPr>
                <w:rFonts w:ascii="Arial" w:hAnsi="Arial" w:cs="Arial"/>
                <w:b/>
                <w:color w:val="00B050"/>
              </w:rPr>
              <w:t xml:space="preserve"> </w:t>
            </w:r>
            <w:r w:rsidRPr="00E46865">
              <w:rPr>
                <w:rFonts w:ascii="Arial" w:hAnsi="Arial" w:cs="Arial"/>
              </w:rPr>
              <w:t>23/25</w:t>
            </w:r>
            <w:r>
              <w:rPr>
                <w:rFonts w:ascii="Arial" w:hAnsi="Arial" w:cs="Arial"/>
              </w:rPr>
              <w:t xml:space="preserve"> (92%) of Māori students were “at” or “above” the national standard in </w:t>
            </w:r>
            <w:r w:rsidRPr="00E46865">
              <w:rPr>
                <w:rFonts w:ascii="Arial" w:hAnsi="Arial" w:cs="Arial"/>
                <w:b/>
                <w:color w:val="00B050"/>
              </w:rPr>
              <w:t>Mathematics</w:t>
            </w:r>
            <w:r>
              <w:rPr>
                <w:rFonts w:ascii="Arial" w:hAnsi="Arial" w:cs="Arial"/>
              </w:rPr>
              <w:t xml:space="preserve"> compared to 448/479 (93%) of NZ European students. This is a </w:t>
            </w:r>
            <w:r w:rsidRPr="004E11FF">
              <w:rPr>
                <w:rFonts w:ascii="Arial" w:hAnsi="Arial" w:cs="Arial"/>
                <w:b/>
                <w:highlight w:val="yellow"/>
              </w:rPr>
              <w:t>near equal performance</w:t>
            </w:r>
            <w:r>
              <w:rPr>
                <w:rFonts w:ascii="Arial" w:hAnsi="Arial" w:cs="Arial"/>
              </w:rPr>
              <w:t xml:space="preserve"> and an improved performance from 2011, 2012 and 2013</w:t>
            </w:r>
          </w:p>
          <w:p w14:paraId="15D9DD85" w14:textId="77777777" w:rsidR="00CD50BF" w:rsidRDefault="00CD50BF" w:rsidP="00A95B0D">
            <w:pPr>
              <w:rPr>
                <w:rFonts w:ascii="Arial" w:hAnsi="Arial" w:cs="Arial"/>
              </w:rPr>
            </w:pPr>
            <w:r>
              <w:rPr>
                <w:rFonts w:ascii="Arial" w:hAnsi="Arial" w:cs="Arial"/>
                <w:b/>
                <w:color w:val="C00000"/>
              </w:rPr>
              <w:t>In 2013</w:t>
            </w:r>
            <w:r>
              <w:rPr>
                <w:rFonts w:ascii="Arial" w:hAnsi="Arial" w:cs="Arial"/>
              </w:rPr>
              <w:t xml:space="preserve"> 16/18 (89%) of Maori students were “at” or “above” the national standard in </w:t>
            </w:r>
            <w:r>
              <w:rPr>
                <w:rFonts w:ascii="Arial" w:hAnsi="Arial" w:cs="Arial"/>
                <w:b/>
                <w:color w:val="00B050"/>
              </w:rPr>
              <w:t xml:space="preserve">Mathematics </w:t>
            </w:r>
            <w:r>
              <w:rPr>
                <w:rFonts w:ascii="Arial" w:hAnsi="Arial" w:cs="Arial"/>
              </w:rPr>
              <w:t xml:space="preserve">compared to 366/413 (89%) of NZ European students. </w:t>
            </w:r>
            <w:r>
              <w:rPr>
                <w:rFonts w:ascii="Arial" w:hAnsi="Arial" w:cs="Arial"/>
                <w:b/>
                <w:highlight w:val="yellow"/>
              </w:rPr>
              <w:t>An equal performance</w:t>
            </w:r>
            <w:r>
              <w:rPr>
                <w:rFonts w:ascii="Arial" w:hAnsi="Arial" w:cs="Arial"/>
                <w:b/>
              </w:rPr>
              <w:t xml:space="preserve"> </w:t>
            </w:r>
            <w:r>
              <w:rPr>
                <w:rFonts w:ascii="Arial" w:hAnsi="Arial" w:cs="Arial"/>
              </w:rPr>
              <w:t xml:space="preserve">over the sum of both categories (both groups had 89% “above” or “at”) but the spread is between both categories from each group is different. There was a higher % of NZ European students in the “above” category. </w:t>
            </w:r>
          </w:p>
          <w:p w14:paraId="6213E180" w14:textId="77777777" w:rsidR="00CD50BF" w:rsidRDefault="00CD50BF" w:rsidP="00A95B0D">
            <w:pPr>
              <w:rPr>
                <w:rFonts w:ascii="Arial" w:hAnsi="Arial" w:cs="Arial"/>
              </w:rPr>
            </w:pPr>
            <w:r>
              <w:rPr>
                <w:rFonts w:ascii="Arial" w:hAnsi="Arial" w:cs="Arial"/>
                <w:b/>
                <w:color w:val="00B0F0"/>
              </w:rPr>
              <w:t>In 2012</w:t>
            </w:r>
            <w:r>
              <w:rPr>
                <w:rFonts w:ascii="Arial" w:hAnsi="Arial" w:cs="Arial"/>
              </w:rPr>
              <w:t xml:space="preserve"> (82%) of Maori students were “at” or “above” the national standard in </w:t>
            </w:r>
            <w:r>
              <w:rPr>
                <w:rFonts w:ascii="Arial" w:hAnsi="Arial" w:cs="Arial"/>
                <w:b/>
                <w:color w:val="339933"/>
              </w:rPr>
              <w:t>Mathematics</w:t>
            </w:r>
            <w:r>
              <w:rPr>
                <w:rFonts w:ascii="Arial" w:hAnsi="Arial" w:cs="Arial"/>
              </w:rPr>
              <w:t xml:space="preserve"> compared to (90%) of NZ European students.</w:t>
            </w:r>
          </w:p>
          <w:p w14:paraId="2FBECF75" w14:textId="77777777" w:rsidR="00CD50BF" w:rsidRDefault="00CD50BF" w:rsidP="00A95B0D">
            <w:pPr>
              <w:rPr>
                <w:rFonts w:ascii="Arial" w:hAnsi="Arial" w:cs="Arial"/>
              </w:rPr>
            </w:pPr>
            <w:r>
              <w:rPr>
                <w:rFonts w:ascii="Arial" w:hAnsi="Arial" w:cs="Arial"/>
                <w:b/>
                <w:color w:val="00B050"/>
              </w:rPr>
              <w:t>In 2011</w:t>
            </w:r>
            <w:r>
              <w:rPr>
                <w:rFonts w:ascii="Arial" w:hAnsi="Arial" w:cs="Arial"/>
                <w:color w:val="00B050"/>
              </w:rPr>
              <w:t xml:space="preserve"> </w:t>
            </w:r>
            <w:r>
              <w:rPr>
                <w:rFonts w:ascii="Arial" w:hAnsi="Arial" w:cs="Arial"/>
              </w:rPr>
              <w:t xml:space="preserve">(88%) of Maori students were “at” or “above” the national standard in </w:t>
            </w:r>
            <w:r>
              <w:rPr>
                <w:rFonts w:ascii="Arial" w:hAnsi="Arial" w:cs="Arial"/>
                <w:b/>
                <w:color w:val="339933"/>
              </w:rPr>
              <w:t>Mathematics</w:t>
            </w:r>
            <w:r>
              <w:rPr>
                <w:rFonts w:ascii="Arial" w:hAnsi="Arial" w:cs="Arial"/>
              </w:rPr>
              <w:t xml:space="preserve"> compared to (87%) of NZ European students. This is a </w:t>
            </w:r>
            <w:r w:rsidRPr="004E11FF">
              <w:rPr>
                <w:rFonts w:ascii="Arial" w:hAnsi="Arial" w:cs="Arial"/>
                <w:b/>
                <w:highlight w:val="yellow"/>
              </w:rPr>
              <w:t>near equal performance</w:t>
            </w:r>
          </w:p>
          <w:p w14:paraId="46297AD1" w14:textId="77777777" w:rsidR="00CD50BF" w:rsidRDefault="00CD50BF" w:rsidP="00A95B0D">
            <w:pPr>
              <w:rPr>
                <w:rFonts w:ascii="Arial" w:hAnsi="Arial" w:cs="Arial"/>
              </w:rPr>
            </w:pPr>
            <w:r>
              <w:rPr>
                <w:rFonts w:ascii="Arial" w:hAnsi="Arial" w:cs="Arial"/>
              </w:rPr>
              <w:t>This continues the upward movement of Maori students since 2011 (88%) to 2012 (82%) to 2013 (89%) and to (92%) in 2014. This trend continues to see a small gap between non–Māori and Māori students from -1% difference in 2011, -8% in 2012, and equal result in 2013 and a –1% difference in 2014</w:t>
            </w:r>
          </w:p>
          <w:p w14:paraId="4059906C" w14:textId="77777777" w:rsidR="00CD50BF" w:rsidRDefault="00CD50BF" w:rsidP="00A95B0D">
            <w:pPr>
              <w:rPr>
                <w:noProof/>
                <w:lang w:eastAsia="en-NZ"/>
              </w:rPr>
            </w:pPr>
            <w:r>
              <w:rPr>
                <w:noProof/>
                <w:lang w:val="en-US"/>
              </w:rPr>
              <w:drawing>
                <wp:inline distT="0" distB="0" distL="0" distR="0" wp14:anchorId="6EBBBD28" wp14:editId="33549CCC">
                  <wp:extent cx="4007485" cy="2618740"/>
                  <wp:effectExtent l="0" t="0" r="12065" b="1016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0659AC" w14:textId="77777777" w:rsidR="00CD50BF" w:rsidRDefault="00CD50BF" w:rsidP="00A95B0D">
            <w:pPr>
              <w:rPr>
                <w:rFonts w:ascii="Arial" w:hAnsi="Arial" w:cs="Arial"/>
                <w:b/>
                <w:color w:val="C00000"/>
              </w:rPr>
            </w:pPr>
          </w:p>
          <w:p w14:paraId="59AAFE8A" w14:textId="77777777" w:rsidR="00CD50BF" w:rsidRDefault="00CD50BF" w:rsidP="00A95B0D">
            <w:pPr>
              <w:rPr>
                <w:rFonts w:ascii="Arial" w:hAnsi="Arial" w:cs="Arial"/>
              </w:rPr>
            </w:pPr>
            <w:r>
              <w:rPr>
                <w:rFonts w:ascii="Arial" w:hAnsi="Arial" w:cs="Arial"/>
                <w:b/>
                <w:color w:val="C00000"/>
              </w:rPr>
              <w:t>In 2014</w:t>
            </w:r>
            <w:r>
              <w:rPr>
                <w:rFonts w:ascii="Arial" w:hAnsi="Arial" w:cs="Arial"/>
              </w:rPr>
              <w:t xml:space="preserve"> there were </w:t>
            </w:r>
            <w:r>
              <w:rPr>
                <w:rFonts w:ascii="Arial" w:hAnsi="Arial" w:cs="Arial"/>
                <w:b/>
              </w:rPr>
              <w:t>25</w:t>
            </w:r>
            <w:r>
              <w:rPr>
                <w:rFonts w:ascii="Arial" w:hAnsi="Arial" w:cs="Arial"/>
              </w:rPr>
              <w:t xml:space="preserve"> Māori students in the school and the results of one child will change results by 5% and if from one category to another up to 10%. This needs to be understood when interpreting the data.</w:t>
            </w:r>
          </w:p>
          <w:p w14:paraId="0FF3D2EC" w14:textId="77777777" w:rsidR="00CD50BF" w:rsidRPr="002C6A86" w:rsidRDefault="00CD50BF" w:rsidP="00A95B0D">
            <w:pPr>
              <w:rPr>
                <w:rFonts w:ascii="Arial" w:hAnsi="Arial" w:cs="Arial"/>
              </w:rPr>
            </w:pPr>
            <w:r>
              <w:rPr>
                <w:rFonts w:ascii="Arial" w:hAnsi="Arial" w:cs="Arial"/>
              </w:rPr>
              <w:t xml:space="preserve"> Our long term goal remains to have no difference in the achievement levels between Maori and NZ European children and this has been achieved in maths in 2011, 2013 and 2014. We are also close to achieving this in reading.</w:t>
            </w:r>
          </w:p>
          <w:p w14:paraId="17EF5299" w14:textId="77777777" w:rsidR="00CD50BF" w:rsidRPr="008B3B3A" w:rsidRDefault="00CD50BF" w:rsidP="00A95B0D">
            <w:pPr>
              <w:rPr>
                <w:rFonts w:ascii="Arial" w:hAnsi="Arial" w:cs="Arial"/>
                <w:b/>
              </w:rPr>
            </w:pPr>
            <w:r>
              <w:rPr>
                <w:rFonts w:ascii="Arial" w:hAnsi="Arial" w:cs="Arial"/>
                <w:b/>
              </w:rPr>
              <w:t xml:space="preserve">Achievement by Gender: </w:t>
            </w:r>
            <w:r>
              <w:rPr>
                <w:rFonts w:ascii="Arial" w:hAnsi="Arial" w:cs="Arial"/>
                <w:b/>
                <w:color w:val="660033"/>
              </w:rPr>
              <w:t>Reading</w:t>
            </w:r>
            <w:r>
              <w:rPr>
                <w:rFonts w:ascii="Arial" w:hAnsi="Arial" w:cs="Arial"/>
                <w:b/>
              </w:rPr>
              <w:t xml:space="preserve"> and in </w:t>
            </w:r>
            <w:r>
              <w:rPr>
                <w:rFonts w:ascii="Arial" w:hAnsi="Arial" w:cs="Arial"/>
                <w:b/>
                <w:color w:val="339933"/>
              </w:rPr>
              <w:t>Mathematics:</w:t>
            </w:r>
            <w:r>
              <w:rPr>
                <w:rFonts w:ascii="Arial" w:hAnsi="Arial" w:cs="Arial"/>
                <w:b/>
              </w:rPr>
              <w:t xml:space="preserve"> </w:t>
            </w:r>
          </w:p>
          <w:p w14:paraId="53406729" w14:textId="77777777" w:rsidR="00CD50BF" w:rsidRDefault="00CD50BF" w:rsidP="00A95B0D">
            <w:pPr>
              <w:rPr>
                <w:rFonts w:ascii="Arial" w:hAnsi="Arial" w:cs="Arial"/>
              </w:rPr>
            </w:pPr>
            <w:r>
              <w:rPr>
                <w:rFonts w:ascii="Arial" w:hAnsi="Arial" w:cs="Arial"/>
                <w:b/>
                <w:color w:val="C00000"/>
              </w:rPr>
              <w:t xml:space="preserve">In 2014 </w:t>
            </w:r>
            <w:r>
              <w:rPr>
                <w:rFonts w:ascii="Arial" w:hAnsi="Arial" w:cs="Arial"/>
              </w:rPr>
              <w:t xml:space="preserve">240/255 (94%) of girls and 202/224 (90%) of boys were at or above the standard in </w:t>
            </w:r>
            <w:r>
              <w:rPr>
                <w:rFonts w:ascii="Arial" w:hAnsi="Arial" w:cs="Arial"/>
                <w:b/>
                <w:color w:val="660033"/>
              </w:rPr>
              <w:t>reading.</w:t>
            </w:r>
            <w:r>
              <w:rPr>
                <w:rFonts w:ascii="Arial" w:hAnsi="Arial" w:cs="Arial"/>
                <w:color w:val="660033"/>
              </w:rPr>
              <w:t xml:space="preserve"> This is similar to 2013 where</w:t>
            </w:r>
            <w:r>
              <w:rPr>
                <w:rFonts w:ascii="Arial" w:hAnsi="Arial" w:cs="Arial"/>
              </w:rPr>
              <w:t xml:space="preserve"> (90%) of girls and (91%) of boys were at or above the standard in </w:t>
            </w:r>
            <w:r>
              <w:rPr>
                <w:rFonts w:ascii="Arial" w:hAnsi="Arial" w:cs="Arial"/>
                <w:b/>
                <w:color w:val="660033"/>
              </w:rPr>
              <w:t>reading.</w:t>
            </w:r>
            <w:r>
              <w:rPr>
                <w:rFonts w:ascii="Arial" w:hAnsi="Arial" w:cs="Arial"/>
                <w:color w:val="660033"/>
              </w:rPr>
              <w:t xml:space="preserve"> </w:t>
            </w:r>
            <w:r>
              <w:rPr>
                <w:rFonts w:ascii="Arial" w:hAnsi="Arial" w:cs="Arial"/>
              </w:rPr>
              <w:t xml:space="preserve">In 2012 (90%) boys and (90%) of girls reached or were above the standard. In 2014 there were 4% more girls “at” or “above” the standard than boys compared to 2013 where there were slightly more boys “above the standard and in 2012 it was equal. </w:t>
            </w:r>
          </w:p>
          <w:p w14:paraId="68C276D8" w14:textId="77777777" w:rsidR="00CD50BF" w:rsidRDefault="00CD50BF" w:rsidP="00A95B0D">
            <w:pPr>
              <w:rPr>
                <w:rFonts w:ascii="Arial" w:hAnsi="Arial" w:cs="Arial"/>
              </w:rPr>
            </w:pPr>
            <w:r>
              <w:rPr>
                <w:rFonts w:ascii="Arial" w:hAnsi="Arial" w:cs="Arial"/>
              </w:rPr>
              <w:t xml:space="preserve">There is very little gender difference in </w:t>
            </w:r>
            <w:r>
              <w:rPr>
                <w:rFonts w:ascii="Arial" w:hAnsi="Arial" w:cs="Arial"/>
                <w:b/>
              </w:rPr>
              <w:t xml:space="preserve">reading </w:t>
            </w:r>
            <w:r>
              <w:rPr>
                <w:rFonts w:ascii="Arial" w:hAnsi="Arial" w:cs="Arial"/>
              </w:rPr>
              <w:t xml:space="preserve">though there is a slightly higher % of female students in the “above” category. </w:t>
            </w:r>
          </w:p>
          <w:p w14:paraId="07562C57" w14:textId="77777777" w:rsidR="00CD50BF" w:rsidRDefault="00CD50BF" w:rsidP="00A95B0D">
            <w:pPr>
              <w:rPr>
                <w:rFonts w:ascii="Arial" w:hAnsi="Arial" w:cs="Arial"/>
                <w:b/>
              </w:rPr>
            </w:pPr>
          </w:p>
          <w:p w14:paraId="0FEFC05A" w14:textId="77777777" w:rsidR="00CD50BF" w:rsidRDefault="00CD50BF" w:rsidP="00A95B0D">
            <w:pPr>
              <w:rPr>
                <w:rFonts w:ascii="Arial" w:hAnsi="Arial" w:cs="Arial"/>
                <w:b/>
                <w:color w:val="C00000"/>
              </w:rPr>
            </w:pPr>
            <w:r>
              <w:rPr>
                <w:noProof/>
                <w:lang w:val="en-US"/>
              </w:rPr>
              <w:drawing>
                <wp:inline distT="0" distB="0" distL="0" distR="0" wp14:anchorId="500FFBED" wp14:editId="10408752">
                  <wp:extent cx="4568190" cy="2858770"/>
                  <wp:effectExtent l="0" t="0" r="22860" b="1778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B2FFC1" w14:textId="77777777" w:rsidR="00CD50BF" w:rsidRDefault="00CD50BF" w:rsidP="00A95B0D">
            <w:pPr>
              <w:rPr>
                <w:rFonts w:ascii="Arial" w:hAnsi="Arial" w:cs="Arial"/>
              </w:rPr>
            </w:pPr>
            <w:r>
              <w:rPr>
                <w:rFonts w:ascii="Arial" w:hAnsi="Arial" w:cs="Arial"/>
                <w:b/>
                <w:color w:val="C00000"/>
              </w:rPr>
              <w:t xml:space="preserve">In 2014 </w:t>
            </w:r>
            <w:r w:rsidRPr="00907A33">
              <w:rPr>
                <w:rFonts w:ascii="Arial" w:hAnsi="Arial" w:cs="Arial"/>
              </w:rPr>
              <w:t>214/224</w:t>
            </w:r>
            <w:r w:rsidRPr="00907A33">
              <w:rPr>
                <w:rFonts w:ascii="Arial" w:hAnsi="Arial" w:cs="Arial"/>
                <w:b/>
              </w:rPr>
              <w:t xml:space="preserve"> </w:t>
            </w:r>
            <w:r w:rsidRPr="00907A33">
              <w:rPr>
                <w:rFonts w:ascii="Arial" w:hAnsi="Arial" w:cs="Arial"/>
              </w:rPr>
              <w:t>(95%)</w:t>
            </w:r>
            <w:r>
              <w:rPr>
                <w:rFonts w:ascii="Arial" w:hAnsi="Arial" w:cs="Arial"/>
              </w:rPr>
              <w:t xml:space="preserve"> of boys were “at” or “above” the standard in </w:t>
            </w:r>
            <w:r w:rsidRPr="00907A33">
              <w:rPr>
                <w:rFonts w:ascii="Arial" w:hAnsi="Arial" w:cs="Arial"/>
                <w:b/>
                <w:color w:val="00B050"/>
              </w:rPr>
              <w:t>mathematics</w:t>
            </w:r>
            <w:r>
              <w:rPr>
                <w:rFonts w:ascii="Arial" w:hAnsi="Arial" w:cs="Arial"/>
                <w:b/>
                <w:color w:val="00B050"/>
              </w:rPr>
              <w:t xml:space="preserve"> </w:t>
            </w:r>
            <w:r w:rsidRPr="00907A33">
              <w:rPr>
                <w:rFonts w:ascii="Arial" w:hAnsi="Arial" w:cs="Arial"/>
              </w:rPr>
              <w:t>compared</w:t>
            </w:r>
            <w:r w:rsidRPr="00907A33">
              <w:rPr>
                <w:rFonts w:ascii="Arial" w:hAnsi="Arial" w:cs="Arial"/>
                <w:b/>
              </w:rPr>
              <w:t xml:space="preserve"> </w:t>
            </w:r>
            <w:r w:rsidRPr="00907A33">
              <w:rPr>
                <w:rFonts w:ascii="Arial" w:hAnsi="Arial" w:cs="Arial"/>
              </w:rPr>
              <w:t>to</w:t>
            </w:r>
            <w:r>
              <w:rPr>
                <w:rFonts w:ascii="Arial" w:hAnsi="Arial" w:cs="Arial"/>
              </w:rPr>
              <w:t xml:space="preserve"> 234/255 (92%) of girls. This compares </w:t>
            </w:r>
            <w:r w:rsidRPr="00907A33">
              <w:rPr>
                <w:rFonts w:ascii="Arial" w:hAnsi="Arial" w:cs="Arial"/>
                <w:b/>
                <w:color w:val="00B050"/>
              </w:rPr>
              <w:t>to</w:t>
            </w:r>
            <w:r>
              <w:rPr>
                <w:rFonts w:ascii="Arial" w:hAnsi="Arial" w:cs="Arial"/>
                <w:b/>
              </w:rPr>
              <w:t xml:space="preserve"> </w:t>
            </w:r>
            <w:r w:rsidRPr="00907A33">
              <w:rPr>
                <w:rFonts w:ascii="Arial" w:hAnsi="Arial" w:cs="Arial"/>
                <w:b/>
                <w:color w:val="00B050"/>
              </w:rPr>
              <w:t>2013</w:t>
            </w:r>
            <w:r>
              <w:rPr>
                <w:rFonts w:ascii="Arial" w:hAnsi="Arial" w:cs="Arial"/>
                <w:b/>
                <w:color w:val="C00000"/>
              </w:rPr>
              <w:t xml:space="preserve"> </w:t>
            </w:r>
            <w:r w:rsidRPr="00907A33">
              <w:rPr>
                <w:rFonts w:ascii="Arial" w:hAnsi="Arial" w:cs="Arial"/>
              </w:rPr>
              <w:t>where</w:t>
            </w:r>
            <w:r>
              <w:rPr>
                <w:rFonts w:ascii="Arial" w:hAnsi="Arial" w:cs="Arial"/>
              </w:rPr>
              <w:t xml:space="preserve"> </w:t>
            </w:r>
            <w:r w:rsidRPr="00907A33">
              <w:rPr>
                <w:rFonts w:ascii="Arial" w:hAnsi="Arial" w:cs="Arial"/>
              </w:rPr>
              <w:t>194/220</w:t>
            </w:r>
            <w:r w:rsidRPr="00907A33">
              <w:rPr>
                <w:rFonts w:ascii="Arial" w:hAnsi="Arial" w:cs="Arial"/>
                <w:b/>
              </w:rPr>
              <w:t xml:space="preserve"> </w:t>
            </w:r>
            <w:r>
              <w:rPr>
                <w:rFonts w:ascii="Arial" w:hAnsi="Arial" w:cs="Arial"/>
              </w:rPr>
              <w:t xml:space="preserve">(88%) of boys reached the standard in </w:t>
            </w:r>
            <w:r>
              <w:rPr>
                <w:rFonts w:ascii="Arial" w:hAnsi="Arial" w:cs="Arial"/>
                <w:b/>
                <w:color w:val="339933"/>
              </w:rPr>
              <w:t>mathematics</w:t>
            </w:r>
            <w:r>
              <w:rPr>
                <w:rFonts w:ascii="Arial" w:hAnsi="Arial" w:cs="Arial"/>
              </w:rPr>
              <w:t xml:space="preserve"> or were above it compared to 209/236 (88%) of girls. The 2014 result is better than 2013 by 7% for boys and 4% for girls and continues an upward trend since 2011. The 2013 results were lower than 2012 so the 2014 results have reversed this dip.</w:t>
            </w:r>
          </w:p>
          <w:p w14:paraId="1D0A7EC2" w14:textId="77777777" w:rsidR="00CD50BF" w:rsidRPr="008B3B3A" w:rsidRDefault="00CD50BF" w:rsidP="00A95B0D">
            <w:pPr>
              <w:rPr>
                <w:rFonts w:ascii="Arial" w:hAnsi="Arial" w:cs="Arial"/>
                <w:b/>
                <w:color w:val="C00000"/>
              </w:rPr>
            </w:pPr>
            <w:r>
              <w:rPr>
                <w:noProof/>
                <w:lang w:val="en-US"/>
              </w:rPr>
              <w:drawing>
                <wp:inline distT="0" distB="0" distL="0" distR="0" wp14:anchorId="16940E90" wp14:editId="48FF5F83">
                  <wp:extent cx="4568190" cy="2858770"/>
                  <wp:effectExtent l="0" t="0" r="22860" b="1778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ADA4D4" w14:textId="77777777" w:rsidR="00CD50BF" w:rsidRPr="003C6220" w:rsidRDefault="00CD50BF" w:rsidP="00A95B0D">
            <w:pPr>
              <w:rPr>
                <w:rFonts w:ascii="Arial" w:hAnsi="Arial" w:cs="Arial"/>
              </w:rPr>
            </w:pPr>
            <w:r>
              <w:rPr>
                <w:rFonts w:ascii="Arial" w:hAnsi="Arial" w:cs="Arial"/>
              </w:rPr>
              <w:t>We will explain through the team PLG process what happened to specific 2014 year level cohorts of children and identify strategies that lead to higher student achievement for boys and girls.</w:t>
            </w:r>
          </w:p>
        </w:tc>
      </w:tr>
      <w:tr w:rsidR="00CD50BF" w14:paraId="0DFB9AB0" w14:textId="77777777" w:rsidTr="00A95B0D">
        <w:tc>
          <w:tcPr>
            <w:tcW w:w="10632" w:type="dxa"/>
            <w:tcBorders>
              <w:top w:val="single" w:sz="4" w:space="0" w:color="auto"/>
              <w:left w:val="single" w:sz="4" w:space="0" w:color="auto"/>
              <w:bottom w:val="single" w:sz="4" w:space="0" w:color="auto"/>
              <w:right w:val="single" w:sz="4" w:space="0" w:color="auto"/>
            </w:tcBorders>
            <w:shd w:val="clear" w:color="auto" w:fill="D0D8E8"/>
            <w:hideMark/>
          </w:tcPr>
          <w:p w14:paraId="16C7E728" w14:textId="77777777" w:rsidR="00CD50BF" w:rsidRDefault="00CD50BF" w:rsidP="00A95B0D">
            <w:pPr>
              <w:rPr>
                <w:rFonts w:ascii="Arial" w:hAnsi="Arial" w:cs="Arial"/>
                <w:b/>
              </w:rPr>
            </w:pPr>
            <w:r>
              <w:rPr>
                <w:rFonts w:ascii="Arial" w:hAnsi="Arial" w:cs="Arial"/>
                <w:b/>
              </w:rPr>
              <w:t>NAG2A (b)(i) Areas for improvement</w:t>
            </w:r>
          </w:p>
        </w:tc>
      </w:tr>
      <w:tr w:rsidR="00CD50BF" w14:paraId="67447AD5" w14:textId="77777777" w:rsidTr="00A95B0D">
        <w:tc>
          <w:tcPr>
            <w:tcW w:w="10632" w:type="dxa"/>
            <w:tcBorders>
              <w:top w:val="single" w:sz="4" w:space="0" w:color="auto"/>
              <w:left w:val="single" w:sz="4" w:space="0" w:color="auto"/>
              <w:bottom w:val="single" w:sz="4" w:space="0" w:color="auto"/>
              <w:right w:val="single" w:sz="4" w:space="0" w:color="auto"/>
            </w:tcBorders>
            <w:hideMark/>
          </w:tcPr>
          <w:p w14:paraId="086A0B69" w14:textId="77777777" w:rsidR="00CD50BF" w:rsidRDefault="00CD50BF" w:rsidP="00A95B0D"/>
        </w:tc>
      </w:tr>
      <w:tr w:rsidR="00CD50BF" w14:paraId="15FAF761" w14:textId="77777777" w:rsidTr="00A95B0D">
        <w:tc>
          <w:tcPr>
            <w:tcW w:w="10632" w:type="dxa"/>
            <w:tcBorders>
              <w:top w:val="single" w:sz="4" w:space="0" w:color="auto"/>
              <w:left w:val="single" w:sz="4" w:space="0" w:color="auto"/>
              <w:bottom w:val="single" w:sz="4" w:space="0" w:color="auto"/>
              <w:right w:val="single" w:sz="4" w:space="0" w:color="auto"/>
            </w:tcBorders>
          </w:tcPr>
          <w:p w14:paraId="4929265A" w14:textId="77777777" w:rsidR="00CD50BF" w:rsidRDefault="00CD50BF" w:rsidP="00A95B0D">
            <w:pPr>
              <w:rPr>
                <w:rFonts w:ascii="Arial" w:hAnsi="Arial" w:cs="Arial"/>
                <w:b/>
                <w:color w:val="C00000"/>
              </w:rPr>
            </w:pPr>
            <w:r>
              <w:rPr>
                <w:rFonts w:ascii="Arial" w:hAnsi="Arial" w:cs="Arial"/>
              </w:rPr>
              <w:t xml:space="preserve">National Standard subject: </w:t>
            </w:r>
            <w:r>
              <w:rPr>
                <w:rFonts w:ascii="Arial" w:hAnsi="Arial" w:cs="Arial"/>
                <w:b/>
                <w:color w:val="FF0000"/>
              </w:rPr>
              <w:t>Written Language</w:t>
            </w:r>
          </w:p>
          <w:p w14:paraId="4AB136E4" w14:textId="77777777" w:rsidR="00CD50BF" w:rsidRDefault="00CD50BF" w:rsidP="00A95B0D">
            <w:pPr>
              <w:rPr>
                <w:rFonts w:ascii="Arial" w:hAnsi="Arial" w:cs="Arial"/>
                <w:b/>
                <w:color w:val="C00000"/>
              </w:rPr>
            </w:pPr>
          </w:p>
          <w:p w14:paraId="0B93ADC3" w14:textId="77777777" w:rsidR="00CD50BF" w:rsidRDefault="00CD50BF" w:rsidP="00A95B0D">
            <w:pPr>
              <w:rPr>
                <w:rFonts w:ascii="Arial" w:hAnsi="Arial" w:cs="Arial"/>
              </w:rPr>
            </w:pPr>
            <w:r>
              <w:rPr>
                <w:rFonts w:ascii="Arial" w:hAnsi="Arial" w:cs="Arial"/>
                <w:b/>
                <w:color w:val="C00000"/>
              </w:rPr>
              <w:t>In 2014</w:t>
            </w:r>
            <w:r>
              <w:rPr>
                <w:rFonts w:ascii="Arial" w:hAnsi="Arial" w:cs="Arial"/>
              </w:rPr>
              <w:t xml:space="preserve"> we set goals for </w:t>
            </w:r>
            <w:r>
              <w:rPr>
                <w:rFonts w:ascii="Arial" w:hAnsi="Arial" w:cs="Arial"/>
                <w:b/>
                <w:color w:val="C00000"/>
              </w:rPr>
              <w:t>Maori students</w:t>
            </w:r>
            <w:r>
              <w:rPr>
                <w:rFonts w:ascii="Arial" w:hAnsi="Arial" w:cs="Arial"/>
              </w:rPr>
              <w:t xml:space="preserve">, for </w:t>
            </w:r>
            <w:r>
              <w:rPr>
                <w:rFonts w:ascii="Arial" w:hAnsi="Arial" w:cs="Arial"/>
                <w:b/>
                <w:color w:val="00B0F0"/>
              </w:rPr>
              <w:t>high ability students</w:t>
            </w:r>
            <w:r>
              <w:rPr>
                <w:rFonts w:ascii="Arial" w:hAnsi="Arial" w:cs="Arial"/>
                <w:color w:val="00B0F0"/>
              </w:rPr>
              <w:t xml:space="preserve"> </w:t>
            </w:r>
            <w:r>
              <w:rPr>
                <w:rFonts w:ascii="Arial" w:hAnsi="Arial" w:cs="Arial"/>
              </w:rPr>
              <w:t>and for “</w:t>
            </w:r>
            <w:r>
              <w:rPr>
                <w:rFonts w:ascii="Arial" w:hAnsi="Arial" w:cs="Arial"/>
                <w:b/>
                <w:color w:val="00B050"/>
              </w:rPr>
              <w:t>well below” and “below” students</w:t>
            </w:r>
            <w:r>
              <w:rPr>
                <w:rFonts w:ascii="Arial" w:hAnsi="Arial" w:cs="Arial"/>
              </w:rPr>
              <w:t xml:space="preserve">. We targeted </w:t>
            </w:r>
            <w:r>
              <w:rPr>
                <w:rFonts w:ascii="Arial" w:hAnsi="Arial" w:cs="Arial"/>
                <w:b/>
                <w:color w:val="FF0000"/>
              </w:rPr>
              <w:t>written language</w:t>
            </w:r>
            <w:r>
              <w:rPr>
                <w:rFonts w:ascii="Arial" w:hAnsi="Arial" w:cs="Arial"/>
              </w:rPr>
              <w:t xml:space="preserve"> as an area we continued to want to improve in as there were lower numbers of students achieving “at” or “above” the standard when compared to reading and mathematics. We also had lower numbers of </w:t>
            </w:r>
            <w:r>
              <w:rPr>
                <w:rFonts w:ascii="Arial" w:hAnsi="Arial" w:cs="Arial"/>
                <w:b/>
                <w:color w:val="00B0F0"/>
              </w:rPr>
              <w:t>high ability students</w:t>
            </w:r>
            <w:r>
              <w:rPr>
                <w:rFonts w:ascii="Arial" w:hAnsi="Arial" w:cs="Arial"/>
              </w:rPr>
              <w:t xml:space="preserve"> achieving “above” the standard in reading. Another group that we continued to focus on in 2014 were our </w:t>
            </w:r>
            <w:r>
              <w:rPr>
                <w:rFonts w:ascii="Arial" w:hAnsi="Arial" w:cs="Arial"/>
                <w:b/>
                <w:color w:val="C00000"/>
              </w:rPr>
              <w:t xml:space="preserve">Maori students </w:t>
            </w:r>
            <w:r>
              <w:rPr>
                <w:rFonts w:ascii="Arial" w:hAnsi="Arial" w:cs="Arial"/>
              </w:rPr>
              <w:t xml:space="preserve">who in 2011, 2012 and in 2013 were significantly below the achievement levels of European students in </w:t>
            </w:r>
            <w:r>
              <w:rPr>
                <w:rFonts w:ascii="Arial" w:hAnsi="Arial" w:cs="Arial"/>
                <w:b/>
                <w:color w:val="FF0000"/>
              </w:rPr>
              <w:t>written language</w:t>
            </w:r>
            <w:r>
              <w:rPr>
                <w:rFonts w:ascii="Arial" w:hAnsi="Arial" w:cs="Arial"/>
              </w:rPr>
              <w:t xml:space="preserve">. </w:t>
            </w:r>
          </w:p>
          <w:p w14:paraId="3B7DB8A7" w14:textId="77777777" w:rsidR="00CD50BF" w:rsidRDefault="00CD50BF" w:rsidP="00A95B0D">
            <w:pPr>
              <w:rPr>
                <w:rFonts w:ascii="Arial" w:hAnsi="Arial" w:cs="Arial"/>
              </w:rPr>
            </w:pPr>
            <w:r>
              <w:rPr>
                <w:rFonts w:ascii="Arial" w:hAnsi="Arial" w:cs="Arial"/>
                <w:b/>
                <w:color w:val="C00000"/>
              </w:rPr>
              <w:t xml:space="preserve">Our 2014 </w:t>
            </w:r>
            <w:r>
              <w:rPr>
                <w:rFonts w:ascii="Arial" w:hAnsi="Arial" w:cs="Arial"/>
              </w:rPr>
              <w:t xml:space="preserve">national standard data in </w:t>
            </w:r>
            <w:r>
              <w:rPr>
                <w:rFonts w:ascii="Arial" w:hAnsi="Arial" w:cs="Arial"/>
                <w:b/>
                <w:color w:val="FF0000"/>
              </w:rPr>
              <w:t>written language</w:t>
            </w:r>
            <w:r>
              <w:rPr>
                <w:rFonts w:ascii="Arial" w:hAnsi="Arial" w:cs="Arial"/>
                <w:color w:val="FF0000"/>
              </w:rPr>
              <w:t xml:space="preserve"> </w:t>
            </w:r>
            <w:r>
              <w:rPr>
                <w:rFonts w:ascii="Arial" w:hAnsi="Arial" w:cs="Arial"/>
              </w:rPr>
              <w:t xml:space="preserve">shows significant improved levels of student achievement across the school. At the end of the year we had 132/479 (28%) of students across the school achieving “above” the standard, a further 286/479 (60%) achieving “at” the standard. This adds up to 418/479 (88%) of students “at” or “above” the national standard (a 7% improvement on 2013 and an 11% since 2011). There were 53/479 (11%) below the standard and 8/479 (2%) well below the standard. This is a big improvement from 2013, 2012 and 2011. </w:t>
            </w:r>
          </w:p>
          <w:p w14:paraId="6121BBF4" w14:textId="77777777" w:rsidR="00CD50BF" w:rsidRDefault="00CD50BF" w:rsidP="00A95B0D">
            <w:pPr>
              <w:rPr>
                <w:rFonts w:ascii="Arial" w:hAnsi="Arial" w:cs="Arial"/>
              </w:rPr>
            </w:pPr>
            <w:r>
              <w:rPr>
                <w:rFonts w:ascii="Arial" w:hAnsi="Arial" w:cs="Arial"/>
              </w:rPr>
              <w:t xml:space="preserve">The 61/479 (12%) of children who are “below” or “well below” the national standard  have been identified and are receiving differentiated learning support within learning spaces where teachers are recognised as the main provider of this support. </w:t>
            </w:r>
          </w:p>
          <w:p w14:paraId="66345EF3" w14:textId="77777777" w:rsidR="00CD50BF" w:rsidRDefault="00CD50BF" w:rsidP="00A95B0D">
            <w:pPr>
              <w:rPr>
                <w:rFonts w:ascii="Arial" w:hAnsi="Arial" w:cs="Arial"/>
              </w:rPr>
            </w:pPr>
            <w:r>
              <w:rPr>
                <w:rFonts w:ascii="Arial" w:hAnsi="Arial" w:cs="Arial"/>
              </w:rPr>
              <w:t>We will to explain through the team PLG process what happened to specific 2014 year level cohorts of children.</w:t>
            </w:r>
          </w:p>
          <w:p w14:paraId="022B6BEB" w14:textId="77777777" w:rsidR="00CD50BF" w:rsidRPr="002767AA" w:rsidRDefault="00CD50BF" w:rsidP="00A95B0D">
            <w:pPr>
              <w:rPr>
                <w:rFonts w:ascii="Arial" w:hAnsi="Arial" w:cs="Arial"/>
              </w:rPr>
            </w:pPr>
            <w:r w:rsidRPr="002767AA">
              <w:rPr>
                <w:rFonts w:ascii="Arial" w:hAnsi="Arial" w:cs="Arial"/>
              </w:rPr>
              <w:t>The results are improved in 2014 when compared to 2011, 2012 and 2013 as set out below:</w:t>
            </w:r>
          </w:p>
          <w:p w14:paraId="56D7CF77" w14:textId="77777777" w:rsidR="00CD50BF" w:rsidRPr="002767AA" w:rsidRDefault="00CD50BF" w:rsidP="00A95B0D">
            <w:pPr>
              <w:rPr>
                <w:rFonts w:ascii="Arial" w:hAnsi="Arial" w:cs="Arial"/>
                <w:b/>
              </w:rPr>
            </w:pPr>
            <w:r w:rsidRPr="002767AA">
              <w:rPr>
                <w:rFonts w:ascii="Arial" w:hAnsi="Arial" w:cs="Arial"/>
                <w:b/>
                <w:color w:val="00B050"/>
              </w:rPr>
              <w:t>2011</w:t>
            </w:r>
            <w:r w:rsidRPr="002767AA">
              <w:rPr>
                <w:rFonts w:ascii="Arial" w:hAnsi="Arial" w:cs="Arial"/>
                <w:b/>
              </w:rPr>
              <w:t xml:space="preserve">, </w:t>
            </w:r>
            <w:r w:rsidRPr="002767AA">
              <w:rPr>
                <w:rFonts w:ascii="Arial" w:hAnsi="Arial" w:cs="Arial"/>
                <w:b/>
                <w:color w:val="00B0F0"/>
              </w:rPr>
              <w:t xml:space="preserve">2012 and </w:t>
            </w:r>
            <w:r w:rsidRPr="002767AA">
              <w:rPr>
                <w:rFonts w:ascii="Arial" w:hAnsi="Arial" w:cs="Arial"/>
                <w:b/>
                <w:color w:val="C00000"/>
              </w:rPr>
              <w:t>2013</w:t>
            </w:r>
            <w:r w:rsidRPr="002767AA">
              <w:rPr>
                <w:rFonts w:ascii="Arial" w:hAnsi="Arial" w:cs="Arial"/>
                <w:b/>
                <w:color w:val="00B0F0"/>
              </w:rPr>
              <w:t xml:space="preserve"> </w:t>
            </w:r>
            <w:r w:rsidRPr="002767AA">
              <w:rPr>
                <w:rFonts w:ascii="Arial" w:hAnsi="Arial" w:cs="Arial"/>
                <w:b/>
              </w:rPr>
              <w:t xml:space="preserve">(1%-2%) were </w:t>
            </w:r>
            <w:r w:rsidRPr="002767AA">
              <w:rPr>
                <w:rFonts w:ascii="Arial" w:hAnsi="Arial" w:cs="Arial"/>
                <w:b/>
                <w:highlight w:val="yellow"/>
              </w:rPr>
              <w:t>“well below”</w:t>
            </w:r>
            <w:r w:rsidRPr="002767AA">
              <w:rPr>
                <w:rFonts w:ascii="Arial" w:hAnsi="Arial" w:cs="Arial"/>
                <w:b/>
              </w:rPr>
              <w:t xml:space="preserve"> the standard. </w:t>
            </w:r>
          </w:p>
          <w:p w14:paraId="303EF1CF" w14:textId="77777777" w:rsidR="00CD50BF" w:rsidRPr="002767AA" w:rsidRDefault="00CD50BF" w:rsidP="00A95B0D">
            <w:pPr>
              <w:rPr>
                <w:rFonts w:ascii="Arial" w:hAnsi="Arial" w:cs="Arial"/>
                <w:b/>
              </w:rPr>
            </w:pPr>
            <w:r w:rsidRPr="00CB5AE8">
              <w:rPr>
                <w:rFonts w:ascii="Arial" w:hAnsi="Arial" w:cs="Arial"/>
                <w:b/>
                <w:color w:val="7030A0"/>
              </w:rPr>
              <w:t>In 2014</w:t>
            </w:r>
            <w:r w:rsidRPr="002767AA">
              <w:rPr>
                <w:rFonts w:ascii="Arial" w:hAnsi="Arial" w:cs="Arial"/>
                <w:b/>
              </w:rPr>
              <w:t xml:space="preserve"> 8/479 (2%) students were </w:t>
            </w:r>
            <w:r w:rsidRPr="002767AA">
              <w:rPr>
                <w:rFonts w:ascii="Arial" w:hAnsi="Arial" w:cs="Arial"/>
                <w:b/>
                <w:highlight w:val="yellow"/>
              </w:rPr>
              <w:t>“well below”</w:t>
            </w:r>
            <w:r w:rsidRPr="002767AA">
              <w:rPr>
                <w:rFonts w:ascii="Arial" w:hAnsi="Arial" w:cs="Arial"/>
                <w:b/>
              </w:rPr>
              <w:t xml:space="preserve"> the standard. A similar result to 2011, 2012 and 2013.</w:t>
            </w:r>
          </w:p>
          <w:p w14:paraId="79CF5A0D" w14:textId="77777777" w:rsidR="00CD50BF" w:rsidRPr="002767AA" w:rsidRDefault="00CD50BF" w:rsidP="00A95B0D">
            <w:pPr>
              <w:rPr>
                <w:rFonts w:ascii="Arial" w:hAnsi="Arial" w:cs="Arial"/>
                <w:b/>
              </w:rPr>
            </w:pPr>
            <w:r w:rsidRPr="002767AA">
              <w:rPr>
                <w:rFonts w:ascii="Arial" w:hAnsi="Arial" w:cs="Arial"/>
                <w:b/>
                <w:color w:val="00B050"/>
              </w:rPr>
              <w:t>2011</w:t>
            </w:r>
            <w:r w:rsidRPr="002767AA">
              <w:rPr>
                <w:rFonts w:ascii="Arial" w:hAnsi="Arial" w:cs="Arial"/>
                <w:b/>
              </w:rPr>
              <w:t xml:space="preserve"> (21%) were </w:t>
            </w:r>
            <w:r w:rsidRPr="002767AA">
              <w:rPr>
                <w:rFonts w:ascii="Arial" w:hAnsi="Arial" w:cs="Arial"/>
                <w:b/>
                <w:highlight w:val="yellow"/>
              </w:rPr>
              <w:t>“below”,</w:t>
            </w:r>
            <w:r w:rsidRPr="002767AA">
              <w:rPr>
                <w:rFonts w:ascii="Arial" w:hAnsi="Arial" w:cs="Arial"/>
                <w:b/>
              </w:rPr>
              <w:t xml:space="preserve"> compared with </w:t>
            </w:r>
            <w:r w:rsidRPr="002767AA">
              <w:rPr>
                <w:rFonts w:ascii="Arial" w:hAnsi="Arial" w:cs="Arial"/>
                <w:b/>
                <w:color w:val="00B0F0"/>
              </w:rPr>
              <w:t xml:space="preserve">2012 </w:t>
            </w:r>
            <w:r w:rsidRPr="002767AA">
              <w:rPr>
                <w:rFonts w:ascii="Arial" w:hAnsi="Arial" w:cs="Arial"/>
                <w:b/>
              </w:rPr>
              <w:t xml:space="preserve">where (17%) were “below”, compared with </w:t>
            </w:r>
            <w:r w:rsidRPr="002767AA">
              <w:rPr>
                <w:rFonts w:ascii="Arial" w:hAnsi="Arial" w:cs="Arial"/>
                <w:b/>
                <w:color w:val="C00000"/>
              </w:rPr>
              <w:t xml:space="preserve">2013 </w:t>
            </w:r>
            <w:r w:rsidRPr="002767AA">
              <w:rPr>
                <w:rFonts w:ascii="Arial" w:hAnsi="Arial" w:cs="Arial"/>
                <w:b/>
              </w:rPr>
              <w:t>where (18%) were “below” the standard</w:t>
            </w:r>
          </w:p>
          <w:p w14:paraId="22BEAC58" w14:textId="77777777" w:rsidR="00CD50BF" w:rsidRPr="002767AA" w:rsidRDefault="00CD50BF" w:rsidP="00A95B0D">
            <w:pPr>
              <w:rPr>
                <w:rFonts w:ascii="Arial" w:hAnsi="Arial" w:cs="Arial"/>
                <w:b/>
              </w:rPr>
            </w:pPr>
            <w:r w:rsidRPr="00CB5AE8">
              <w:rPr>
                <w:rFonts w:ascii="Arial" w:hAnsi="Arial" w:cs="Arial"/>
                <w:b/>
                <w:color w:val="7030A0"/>
              </w:rPr>
              <w:t>In 2014</w:t>
            </w:r>
            <w:r w:rsidRPr="002767AA">
              <w:rPr>
                <w:rFonts w:ascii="Arial" w:hAnsi="Arial" w:cs="Arial"/>
                <w:b/>
              </w:rPr>
              <w:t xml:space="preserve"> 53/479 (11%) students were </w:t>
            </w:r>
            <w:r w:rsidRPr="002767AA">
              <w:rPr>
                <w:rFonts w:ascii="Arial" w:hAnsi="Arial" w:cs="Arial"/>
                <w:b/>
                <w:highlight w:val="yellow"/>
              </w:rPr>
              <w:t>“below”</w:t>
            </w:r>
            <w:r w:rsidRPr="002767AA">
              <w:rPr>
                <w:rFonts w:ascii="Arial" w:hAnsi="Arial" w:cs="Arial"/>
                <w:b/>
              </w:rPr>
              <w:t xml:space="preserve"> the standard. A significant improved result to 2011-2013</w:t>
            </w:r>
          </w:p>
          <w:p w14:paraId="07E67D1F" w14:textId="77777777" w:rsidR="00CD50BF" w:rsidRPr="002767AA" w:rsidRDefault="00CD50BF" w:rsidP="00A95B0D">
            <w:pPr>
              <w:rPr>
                <w:rFonts w:ascii="Arial" w:hAnsi="Arial" w:cs="Arial"/>
                <w:b/>
              </w:rPr>
            </w:pPr>
            <w:r w:rsidRPr="002767AA">
              <w:rPr>
                <w:rFonts w:ascii="Arial" w:hAnsi="Arial" w:cs="Arial"/>
                <w:b/>
                <w:color w:val="00B050"/>
              </w:rPr>
              <w:t>2011</w:t>
            </w:r>
            <w:r w:rsidRPr="002767AA">
              <w:rPr>
                <w:rFonts w:ascii="Arial" w:hAnsi="Arial" w:cs="Arial"/>
                <w:b/>
              </w:rPr>
              <w:t xml:space="preserve"> (55%) were </w:t>
            </w:r>
            <w:r w:rsidRPr="002767AA">
              <w:rPr>
                <w:rFonts w:ascii="Arial" w:hAnsi="Arial" w:cs="Arial"/>
                <w:b/>
                <w:highlight w:val="yellow"/>
              </w:rPr>
              <w:t>“at”</w:t>
            </w:r>
            <w:r w:rsidRPr="002767AA">
              <w:rPr>
                <w:rFonts w:ascii="Arial" w:hAnsi="Arial" w:cs="Arial"/>
                <w:b/>
              </w:rPr>
              <w:t xml:space="preserve"> compared with </w:t>
            </w:r>
            <w:r w:rsidRPr="002767AA">
              <w:rPr>
                <w:rFonts w:ascii="Arial" w:hAnsi="Arial" w:cs="Arial"/>
                <w:b/>
                <w:color w:val="00B0F0"/>
              </w:rPr>
              <w:t>2012</w:t>
            </w:r>
            <w:r w:rsidRPr="002767AA">
              <w:rPr>
                <w:rFonts w:ascii="Arial" w:hAnsi="Arial" w:cs="Arial"/>
                <w:b/>
              </w:rPr>
              <w:t xml:space="preserve"> (58%) were “at” compared to </w:t>
            </w:r>
            <w:r w:rsidRPr="002767AA">
              <w:rPr>
                <w:rFonts w:ascii="Arial" w:hAnsi="Arial" w:cs="Arial"/>
                <w:b/>
                <w:color w:val="C00000"/>
              </w:rPr>
              <w:t xml:space="preserve">2013 </w:t>
            </w:r>
            <w:r w:rsidRPr="002767AA">
              <w:rPr>
                <w:rFonts w:ascii="Arial" w:hAnsi="Arial" w:cs="Arial"/>
                <w:b/>
              </w:rPr>
              <w:t>(56%) were at the standard</w:t>
            </w:r>
          </w:p>
          <w:p w14:paraId="305AB6E0" w14:textId="77777777" w:rsidR="00CD50BF" w:rsidRPr="002767AA" w:rsidRDefault="00CD50BF" w:rsidP="00A95B0D">
            <w:pPr>
              <w:rPr>
                <w:rFonts w:ascii="Arial" w:hAnsi="Arial" w:cs="Arial"/>
                <w:b/>
              </w:rPr>
            </w:pPr>
            <w:r w:rsidRPr="00CB5AE8">
              <w:rPr>
                <w:rFonts w:ascii="Arial" w:hAnsi="Arial" w:cs="Arial"/>
                <w:b/>
                <w:color w:val="7030A0"/>
              </w:rPr>
              <w:t>In 2014</w:t>
            </w:r>
            <w:r w:rsidRPr="002767AA">
              <w:rPr>
                <w:rFonts w:ascii="Arial" w:hAnsi="Arial" w:cs="Arial"/>
                <w:b/>
              </w:rPr>
              <w:t xml:space="preserve"> 286/479 (60%) of students were </w:t>
            </w:r>
            <w:r w:rsidRPr="002767AA">
              <w:rPr>
                <w:rFonts w:ascii="Arial" w:hAnsi="Arial" w:cs="Arial"/>
                <w:b/>
                <w:highlight w:val="yellow"/>
              </w:rPr>
              <w:t>“at”</w:t>
            </w:r>
            <w:r w:rsidRPr="002767AA">
              <w:rPr>
                <w:rFonts w:ascii="Arial" w:hAnsi="Arial" w:cs="Arial"/>
                <w:b/>
              </w:rPr>
              <w:t xml:space="preserve"> the standard. A better result compared to 2011-2013 </w:t>
            </w:r>
          </w:p>
          <w:p w14:paraId="23267416" w14:textId="77777777" w:rsidR="00CD50BF" w:rsidRPr="002767AA" w:rsidRDefault="00CD50BF" w:rsidP="00A95B0D">
            <w:pPr>
              <w:ind w:left="459" w:hanging="459"/>
              <w:rPr>
                <w:rFonts w:ascii="Arial" w:hAnsi="Arial" w:cs="Arial"/>
                <w:b/>
              </w:rPr>
            </w:pPr>
            <w:r w:rsidRPr="002767AA">
              <w:rPr>
                <w:rFonts w:ascii="Arial" w:hAnsi="Arial" w:cs="Arial"/>
                <w:b/>
                <w:color w:val="00B050"/>
              </w:rPr>
              <w:t>2011</w:t>
            </w:r>
            <w:r w:rsidRPr="002767AA">
              <w:rPr>
                <w:rFonts w:ascii="Arial" w:hAnsi="Arial" w:cs="Arial"/>
                <w:b/>
              </w:rPr>
              <w:t xml:space="preserve"> (22%) were </w:t>
            </w:r>
            <w:r w:rsidRPr="002767AA">
              <w:rPr>
                <w:rFonts w:ascii="Arial" w:hAnsi="Arial" w:cs="Arial"/>
                <w:b/>
                <w:highlight w:val="yellow"/>
              </w:rPr>
              <w:t>“above</w:t>
            </w:r>
            <w:r w:rsidRPr="002767AA">
              <w:rPr>
                <w:rFonts w:ascii="Arial" w:hAnsi="Arial" w:cs="Arial"/>
                <w:b/>
              </w:rPr>
              <w:t xml:space="preserve">” compared with </w:t>
            </w:r>
            <w:r w:rsidRPr="002767AA">
              <w:rPr>
                <w:rFonts w:ascii="Arial" w:hAnsi="Arial" w:cs="Arial"/>
                <w:b/>
                <w:color w:val="00B0F0"/>
              </w:rPr>
              <w:t>2012</w:t>
            </w:r>
            <w:r w:rsidRPr="002767AA">
              <w:rPr>
                <w:rFonts w:ascii="Arial" w:hAnsi="Arial" w:cs="Arial"/>
                <w:b/>
              </w:rPr>
              <w:t xml:space="preserve"> (22%) were also </w:t>
            </w:r>
            <w:r w:rsidRPr="002767AA">
              <w:rPr>
                <w:rFonts w:ascii="Arial" w:hAnsi="Arial" w:cs="Arial"/>
                <w:b/>
                <w:color w:val="C00000"/>
              </w:rPr>
              <w:t>2013</w:t>
            </w:r>
            <w:r w:rsidRPr="002767AA">
              <w:rPr>
                <w:rFonts w:ascii="Arial" w:hAnsi="Arial" w:cs="Arial"/>
                <w:b/>
              </w:rPr>
              <w:t xml:space="preserve"> (25%) were “above” the standard.</w:t>
            </w:r>
          </w:p>
          <w:p w14:paraId="15403920" w14:textId="77777777" w:rsidR="00CD50BF" w:rsidRPr="002767AA" w:rsidRDefault="00CD50BF" w:rsidP="00A95B0D">
            <w:pPr>
              <w:ind w:left="459" w:hanging="459"/>
              <w:rPr>
                <w:rFonts w:ascii="Arial" w:hAnsi="Arial" w:cs="Arial"/>
                <w:b/>
              </w:rPr>
            </w:pPr>
            <w:r w:rsidRPr="00CB5AE8">
              <w:rPr>
                <w:rFonts w:ascii="Arial" w:hAnsi="Arial" w:cs="Arial"/>
                <w:b/>
                <w:color w:val="7030A0"/>
              </w:rPr>
              <w:t>In 2014</w:t>
            </w:r>
            <w:r w:rsidRPr="002767AA">
              <w:rPr>
                <w:rFonts w:ascii="Arial" w:hAnsi="Arial" w:cs="Arial"/>
                <w:b/>
              </w:rPr>
              <w:t xml:space="preserve"> 132/479 (28%) of students were </w:t>
            </w:r>
            <w:r w:rsidRPr="002767AA">
              <w:rPr>
                <w:rFonts w:ascii="Arial" w:hAnsi="Arial" w:cs="Arial"/>
                <w:b/>
                <w:highlight w:val="yellow"/>
              </w:rPr>
              <w:t>“above</w:t>
            </w:r>
            <w:r w:rsidRPr="002767AA">
              <w:rPr>
                <w:rFonts w:ascii="Arial" w:hAnsi="Arial" w:cs="Arial"/>
                <w:b/>
              </w:rPr>
              <w:t xml:space="preserve">” the standard. An improved result of 6% from 2011 </w:t>
            </w:r>
          </w:p>
          <w:p w14:paraId="5BDC3EE4" w14:textId="77777777" w:rsidR="00CD50BF" w:rsidRDefault="00CD50BF" w:rsidP="00A95B0D">
            <w:pPr>
              <w:ind w:left="459" w:hanging="459"/>
              <w:rPr>
                <w:rFonts w:ascii="Arial" w:hAnsi="Arial" w:cs="Arial"/>
                <w:b/>
                <w:sz w:val="20"/>
                <w:szCs w:val="20"/>
              </w:rPr>
            </w:pPr>
          </w:p>
          <w:p w14:paraId="2B65887F" w14:textId="77777777" w:rsidR="00CD50BF" w:rsidRDefault="00CD50BF" w:rsidP="00A95B0D">
            <w:pPr>
              <w:rPr>
                <w:rFonts w:ascii="Arial" w:hAnsi="Arial" w:cs="Arial"/>
                <w:b/>
                <w:sz w:val="20"/>
                <w:szCs w:val="20"/>
              </w:rPr>
            </w:pPr>
            <w:r>
              <w:rPr>
                <w:rFonts w:ascii="Arial" w:hAnsi="Arial" w:cs="Arial"/>
                <w:b/>
                <w:sz w:val="20"/>
                <w:szCs w:val="20"/>
              </w:rPr>
              <w:t xml:space="preserve"> </w:t>
            </w:r>
            <w:r>
              <w:rPr>
                <w:noProof/>
                <w:lang w:val="en-US"/>
              </w:rPr>
              <w:drawing>
                <wp:inline distT="0" distB="0" distL="0" distR="0" wp14:anchorId="07FFFD15" wp14:editId="029CD5F7">
                  <wp:extent cx="3300095" cy="2101850"/>
                  <wp:effectExtent l="0" t="0" r="14605" b="127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32378A" w14:textId="77777777" w:rsidR="00CD50BF" w:rsidRDefault="00CD50BF" w:rsidP="00A95B0D">
            <w:pPr>
              <w:rPr>
                <w:rFonts w:ascii="Arial" w:hAnsi="Arial" w:cs="Arial"/>
              </w:rPr>
            </w:pPr>
          </w:p>
          <w:p w14:paraId="2E89AD4F" w14:textId="77777777" w:rsidR="00CD50BF" w:rsidRDefault="00CD50BF" w:rsidP="00A95B0D">
            <w:pPr>
              <w:rPr>
                <w:rFonts w:ascii="Arial" w:hAnsi="Arial" w:cs="Arial"/>
              </w:rPr>
            </w:pPr>
            <w:r>
              <w:rPr>
                <w:rFonts w:ascii="Arial" w:hAnsi="Arial" w:cs="Arial"/>
              </w:rPr>
              <w:t xml:space="preserve">The graph above shows the steady improvement over time and this is to be celebrated. </w:t>
            </w:r>
          </w:p>
          <w:p w14:paraId="72CA730F" w14:textId="77777777" w:rsidR="00CD50BF" w:rsidRDefault="00CD50BF" w:rsidP="00A95B0D">
            <w:pPr>
              <w:rPr>
                <w:rFonts w:ascii="Arial" w:hAnsi="Arial" w:cs="Arial"/>
              </w:rPr>
            </w:pPr>
          </w:p>
          <w:p w14:paraId="5BACEB9A" w14:textId="77777777" w:rsidR="00CD50BF" w:rsidRPr="008B3B3A" w:rsidRDefault="00CD50BF" w:rsidP="00A95B0D">
            <w:pPr>
              <w:rPr>
                <w:noProof/>
                <w:lang w:eastAsia="en-NZ"/>
              </w:rPr>
            </w:pPr>
            <w:r>
              <w:rPr>
                <w:noProof/>
                <w:lang w:val="en-US"/>
              </w:rPr>
              <w:drawing>
                <wp:inline distT="0" distB="0" distL="0" distR="0" wp14:anchorId="55C91535" wp14:editId="1E3F801A">
                  <wp:extent cx="3721735" cy="2662555"/>
                  <wp:effectExtent l="0" t="0" r="12065" b="2349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D7552E" w14:textId="77777777" w:rsidR="00CD50BF" w:rsidRDefault="00CD50BF" w:rsidP="00A95B0D">
            <w:pPr>
              <w:rPr>
                <w:rFonts w:ascii="Arial" w:hAnsi="Arial" w:cs="Arial"/>
              </w:rPr>
            </w:pPr>
            <w:r>
              <w:rPr>
                <w:rFonts w:ascii="Arial" w:hAnsi="Arial" w:cs="Arial"/>
              </w:rPr>
              <w:t xml:space="preserve">We have made gains for Māori Students who were targeted in 2013 and 2014. </w:t>
            </w:r>
          </w:p>
          <w:p w14:paraId="46EB7E35" w14:textId="77777777" w:rsidR="00CD50BF" w:rsidRDefault="00CD50BF" w:rsidP="00A95B0D">
            <w:pPr>
              <w:rPr>
                <w:rFonts w:ascii="Arial" w:hAnsi="Arial" w:cs="Arial"/>
              </w:rPr>
            </w:pPr>
            <w:r>
              <w:rPr>
                <w:rFonts w:ascii="Arial" w:hAnsi="Arial" w:cs="Arial"/>
              </w:rPr>
              <w:t xml:space="preserve">In </w:t>
            </w:r>
            <w:r w:rsidRPr="002767AA">
              <w:rPr>
                <w:rFonts w:ascii="Arial" w:hAnsi="Arial" w:cs="Arial"/>
                <w:b/>
                <w:color w:val="7030A0"/>
              </w:rPr>
              <w:t>2014</w:t>
            </w:r>
            <w:r>
              <w:rPr>
                <w:rFonts w:ascii="Arial" w:hAnsi="Arial" w:cs="Arial"/>
              </w:rPr>
              <w:t xml:space="preserve"> 19/25 (</w:t>
            </w:r>
            <w:r w:rsidRPr="0088594C">
              <w:rPr>
                <w:rFonts w:ascii="Arial" w:hAnsi="Arial" w:cs="Arial"/>
                <w:highlight w:val="yellow"/>
              </w:rPr>
              <w:t>76%</w:t>
            </w:r>
            <w:r>
              <w:rPr>
                <w:rFonts w:ascii="Arial" w:hAnsi="Arial" w:cs="Arial"/>
              </w:rPr>
              <w:t xml:space="preserve">) of Māori students were “at” or “above” the national standard in Writing compared to 374/426 (87%) of NZ European students. </w:t>
            </w:r>
            <w:r w:rsidRPr="0088594C">
              <w:rPr>
                <w:rFonts w:ascii="Arial" w:hAnsi="Arial" w:cs="Arial"/>
                <w:b/>
                <w:u w:val="single"/>
              </w:rPr>
              <w:t>A</w:t>
            </w:r>
            <w:r>
              <w:rPr>
                <w:rFonts w:ascii="Arial" w:hAnsi="Arial" w:cs="Arial"/>
                <w:b/>
                <w:u w:val="single"/>
              </w:rPr>
              <w:t>n</w:t>
            </w:r>
            <w:r w:rsidRPr="0088594C">
              <w:rPr>
                <w:rFonts w:ascii="Arial" w:hAnsi="Arial" w:cs="Arial"/>
                <w:b/>
                <w:u w:val="single"/>
              </w:rPr>
              <w:t xml:space="preserve"> 11% difference</w:t>
            </w:r>
            <w:r>
              <w:rPr>
                <w:rFonts w:ascii="Arial" w:hAnsi="Arial" w:cs="Arial"/>
              </w:rPr>
              <w:t xml:space="preserve">. </w:t>
            </w:r>
          </w:p>
          <w:p w14:paraId="53558F72" w14:textId="77777777" w:rsidR="00CD50BF" w:rsidRDefault="00CD50BF" w:rsidP="00A95B0D">
            <w:pPr>
              <w:rPr>
                <w:rFonts w:ascii="Arial" w:hAnsi="Arial" w:cs="Arial"/>
              </w:rPr>
            </w:pPr>
            <w:r>
              <w:rPr>
                <w:rFonts w:ascii="Arial" w:hAnsi="Arial" w:cs="Arial"/>
              </w:rPr>
              <w:t xml:space="preserve">In </w:t>
            </w:r>
            <w:r w:rsidRPr="002767AA">
              <w:rPr>
                <w:rFonts w:ascii="Arial" w:hAnsi="Arial" w:cs="Arial"/>
                <w:b/>
                <w:color w:val="C00000"/>
              </w:rPr>
              <w:t>2013</w:t>
            </w:r>
            <w:r>
              <w:rPr>
                <w:rFonts w:ascii="Arial" w:hAnsi="Arial" w:cs="Arial"/>
              </w:rPr>
              <w:t xml:space="preserve"> 12/18 (67%) of Māori students were “at” or “above” the national standard in Writing compared to 337/413 (82%) of NZ European students. </w:t>
            </w:r>
            <w:r w:rsidRPr="0088594C">
              <w:rPr>
                <w:rFonts w:ascii="Arial" w:hAnsi="Arial" w:cs="Arial"/>
                <w:b/>
                <w:u w:val="single"/>
              </w:rPr>
              <w:t>A 15% difference.</w:t>
            </w:r>
            <w:r>
              <w:rPr>
                <w:rFonts w:ascii="Arial" w:hAnsi="Arial" w:cs="Arial"/>
              </w:rPr>
              <w:t xml:space="preserve">  </w:t>
            </w:r>
          </w:p>
          <w:p w14:paraId="146CDA3D" w14:textId="77777777" w:rsidR="00CD50BF" w:rsidRDefault="00CD50BF" w:rsidP="00A95B0D">
            <w:pPr>
              <w:rPr>
                <w:rFonts w:ascii="Arial" w:hAnsi="Arial" w:cs="Arial"/>
              </w:rPr>
            </w:pPr>
            <w:r>
              <w:rPr>
                <w:rFonts w:ascii="Arial" w:hAnsi="Arial" w:cs="Arial"/>
              </w:rPr>
              <w:t xml:space="preserve">In </w:t>
            </w:r>
            <w:r w:rsidRPr="002767AA">
              <w:rPr>
                <w:rFonts w:ascii="Arial" w:hAnsi="Arial" w:cs="Arial"/>
                <w:b/>
                <w:color w:val="00B0F0"/>
              </w:rPr>
              <w:t>2012</w:t>
            </w:r>
            <w:r>
              <w:rPr>
                <w:rFonts w:ascii="Arial" w:hAnsi="Arial" w:cs="Arial"/>
              </w:rPr>
              <w:t xml:space="preserve"> (65%) of Māori students were “at” or “above” the national standard in Writing compared to (79%) of NZ European students. </w:t>
            </w:r>
            <w:r>
              <w:rPr>
                <w:rFonts w:ascii="Arial" w:hAnsi="Arial" w:cs="Arial"/>
                <w:b/>
                <w:u w:val="single"/>
              </w:rPr>
              <w:t>A 14</w:t>
            </w:r>
            <w:r w:rsidRPr="0088594C">
              <w:rPr>
                <w:rFonts w:ascii="Arial" w:hAnsi="Arial" w:cs="Arial"/>
                <w:b/>
                <w:u w:val="single"/>
              </w:rPr>
              <w:t>% difference.</w:t>
            </w:r>
            <w:r>
              <w:rPr>
                <w:rFonts w:ascii="Arial" w:hAnsi="Arial" w:cs="Arial"/>
              </w:rPr>
              <w:t xml:space="preserve"> </w:t>
            </w:r>
          </w:p>
          <w:p w14:paraId="2EFD1720" w14:textId="77777777" w:rsidR="00CD50BF" w:rsidRDefault="00CD50BF" w:rsidP="00A95B0D">
            <w:pPr>
              <w:rPr>
                <w:rFonts w:ascii="Arial" w:hAnsi="Arial" w:cs="Arial"/>
                <w:b/>
                <w:u w:val="single"/>
              </w:rPr>
            </w:pPr>
            <w:r>
              <w:rPr>
                <w:rFonts w:ascii="Arial" w:hAnsi="Arial" w:cs="Arial"/>
              </w:rPr>
              <w:t xml:space="preserve">In </w:t>
            </w:r>
            <w:r w:rsidRPr="002767AA">
              <w:rPr>
                <w:rFonts w:ascii="Arial" w:hAnsi="Arial" w:cs="Arial"/>
                <w:b/>
                <w:color w:val="00B050"/>
              </w:rPr>
              <w:t>2011</w:t>
            </w:r>
            <w:r>
              <w:rPr>
                <w:rFonts w:ascii="Arial" w:hAnsi="Arial" w:cs="Arial"/>
              </w:rPr>
              <w:t xml:space="preserve"> (42%) of Maori students were “at” or “above” the national standard in written language compared to (78%) of NZ European students. </w:t>
            </w:r>
            <w:r>
              <w:rPr>
                <w:rFonts w:ascii="Arial" w:hAnsi="Arial" w:cs="Arial"/>
                <w:b/>
                <w:u w:val="single"/>
              </w:rPr>
              <w:t>A 36</w:t>
            </w:r>
            <w:r w:rsidRPr="0088594C">
              <w:rPr>
                <w:rFonts w:ascii="Arial" w:hAnsi="Arial" w:cs="Arial"/>
                <w:b/>
                <w:u w:val="single"/>
              </w:rPr>
              <w:t>% difference.</w:t>
            </w:r>
            <w:r>
              <w:rPr>
                <w:rFonts w:ascii="Arial" w:hAnsi="Arial" w:cs="Arial"/>
                <w:b/>
                <w:u w:val="single"/>
              </w:rPr>
              <w:t xml:space="preserve"> </w:t>
            </w:r>
          </w:p>
          <w:p w14:paraId="3E6CEC9C" w14:textId="77777777" w:rsidR="00CD50BF" w:rsidRDefault="00CD50BF" w:rsidP="00A95B0D">
            <w:pPr>
              <w:rPr>
                <w:rFonts w:ascii="Arial" w:hAnsi="Arial" w:cs="Arial"/>
                <w:b/>
                <w:color w:val="0000CC"/>
                <w:highlight w:val="yellow"/>
              </w:rPr>
            </w:pPr>
          </w:p>
          <w:p w14:paraId="73BDE92C" w14:textId="77777777" w:rsidR="00CD50BF" w:rsidRPr="0088594C" w:rsidRDefault="00CD50BF" w:rsidP="00A95B0D">
            <w:pPr>
              <w:rPr>
                <w:rFonts w:ascii="Arial" w:hAnsi="Arial" w:cs="Arial"/>
                <w:b/>
                <w:color w:val="0000CC"/>
              </w:rPr>
            </w:pPr>
            <w:r>
              <w:rPr>
                <w:rFonts w:ascii="Arial" w:hAnsi="Arial" w:cs="Arial"/>
                <w:b/>
                <w:color w:val="0000CC"/>
                <w:highlight w:val="yellow"/>
              </w:rPr>
              <w:t>There has been a</w:t>
            </w:r>
            <w:r w:rsidRPr="0088594C">
              <w:rPr>
                <w:rFonts w:ascii="Arial" w:hAnsi="Arial" w:cs="Arial"/>
                <w:b/>
                <w:color w:val="0000CC"/>
                <w:highlight w:val="yellow"/>
              </w:rPr>
              <w:t xml:space="preserve"> significant improvement</w:t>
            </w:r>
            <w:r>
              <w:rPr>
                <w:rFonts w:ascii="Arial" w:hAnsi="Arial" w:cs="Arial"/>
                <w:b/>
                <w:color w:val="0000CC"/>
                <w:highlight w:val="yellow"/>
              </w:rPr>
              <w:t xml:space="preserve"> in achievement levels for Maori Students “at” or “above” the national standard from 2011 – 2014. An increase of </w:t>
            </w:r>
            <w:r w:rsidRPr="0088594C">
              <w:rPr>
                <w:rFonts w:ascii="Arial" w:hAnsi="Arial" w:cs="Arial"/>
                <w:b/>
                <w:color w:val="0000CC"/>
                <w:highlight w:val="yellow"/>
              </w:rPr>
              <w:t>+34%</w:t>
            </w:r>
            <w:r>
              <w:rPr>
                <w:rFonts w:ascii="Arial" w:hAnsi="Arial" w:cs="Arial"/>
                <w:b/>
                <w:color w:val="0000CC"/>
              </w:rPr>
              <w:t>.</w:t>
            </w:r>
          </w:p>
          <w:p w14:paraId="57A72848" w14:textId="77777777" w:rsidR="00CD50BF" w:rsidRDefault="00CD50BF" w:rsidP="00A95B0D">
            <w:pPr>
              <w:rPr>
                <w:rFonts w:ascii="Arial" w:hAnsi="Arial" w:cs="Arial"/>
              </w:rPr>
            </w:pPr>
          </w:p>
          <w:p w14:paraId="42C13031" w14:textId="77777777" w:rsidR="00CD50BF" w:rsidRDefault="00CD50BF" w:rsidP="00A95B0D">
            <w:pPr>
              <w:rPr>
                <w:noProof/>
                <w:lang w:eastAsia="en-NZ"/>
              </w:rPr>
            </w:pPr>
            <w:r>
              <w:rPr>
                <w:noProof/>
                <w:lang w:val="en-US"/>
              </w:rPr>
              <w:drawing>
                <wp:inline distT="0" distB="0" distL="0" distR="0" wp14:anchorId="05223ADE" wp14:editId="0D390CD3">
                  <wp:extent cx="4568190" cy="2858770"/>
                  <wp:effectExtent l="0" t="0" r="22860" b="1778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62A012" w14:textId="77777777" w:rsidR="00CD50BF" w:rsidRDefault="00CD50BF" w:rsidP="00A95B0D">
            <w:pPr>
              <w:rPr>
                <w:rFonts w:ascii="Arial" w:hAnsi="Arial" w:cs="Arial"/>
              </w:rPr>
            </w:pPr>
            <w:r>
              <w:rPr>
                <w:rFonts w:ascii="Arial" w:hAnsi="Arial" w:cs="Arial"/>
              </w:rPr>
              <w:t xml:space="preserve">The results are pleasing and should be celebrated. </w:t>
            </w:r>
          </w:p>
          <w:p w14:paraId="4AA384F7" w14:textId="77777777" w:rsidR="00CD50BF" w:rsidRDefault="00CD50BF" w:rsidP="00A95B0D">
            <w:pPr>
              <w:rPr>
                <w:rFonts w:ascii="Arial" w:hAnsi="Arial" w:cs="Arial"/>
              </w:rPr>
            </w:pPr>
            <w:r w:rsidRPr="00CB5AE8">
              <w:rPr>
                <w:rFonts w:ascii="Arial" w:hAnsi="Arial" w:cs="Arial"/>
                <w:b/>
                <w:color w:val="7030A0"/>
              </w:rPr>
              <w:t>In 2014</w:t>
            </w:r>
            <w:r>
              <w:rPr>
                <w:rFonts w:ascii="Arial" w:hAnsi="Arial" w:cs="Arial"/>
              </w:rPr>
              <w:t xml:space="preserve"> we have improved on the good level of student achievement results in writing compared to </w:t>
            </w:r>
            <w:r w:rsidRPr="00CB5AE8">
              <w:rPr>
                <w:rFonts w:ascii="Arial" w:hAnsi="Arial" w:cs="Arial"/>
                <w:b/>
                <w:color w:val="00B050"/>
              </w:rPr>
              <w:t>2011</w:t>
            </w:r>
            <w:r>
              <w:rPr>
                <w:rFonts w:ascii="Arial" w:hAnsi="Arial" w:cs="Arial"/>
              </w:rPr>
              <w:t xml:space="preserve">, </w:t>
            </w:r>
            <w:r w:rsidRPr="00CB5AE8">
              <w:rPr>
                <w:rFonts w:ascii="Arial" w:hAnsi="Arial" w:cs="Arial"/>
                <w:b/>
                <w:color w:val="00B0F0"/>
              </w:rPr>
              <w:t>2012</w:t>
            </w:r>
            <w:r>
              <w:rPr>
                <w:rFonts w:ascii="Arial" w:hAnsi="Arial" w:cs="Arial"/>
              </w:rPr>
              <w:t xml:space="preserve"> and </w:t>
            </w:r>
            <w:r w:rsidRPr="00CB5AE8">
              <w:rPr>
                <w:rFonts w:ascii="Arial" w:hAnsi="Arial" w:cs="Arial"/>
                <w:b/>
                <w:color w:val="C00000"/>
              </w:rPr>
              <w:t>2013</w:t>
            </w:r>
            <w:r>
              <w:rPr>
                <w:rFonts w:ascii="Arial" w:hAnsi="Arial" w:cs="Arial"/>
              </w:rPr>
              <w:t xml:space="preserve"> with 88% of the total number of students across the school being “at” or “above” the standard for their class level or time at school. </w:t>
            </w:r>
          </w:p>
          <w:p w14:paraId="7E30DAEF" w14:textId="77777777" w:rsidR="00CD50BF" w:rsidRDefault="00CD50BF" w:rsidP="00A95B0D">
            <w:pPr>
              <w:rPr>
                <w:rFonts w:ascii="Arial" w:hAnsi="Arial" w:cs="Arial"/>
              </w:rPr>
            </w:pPr>
            <w:r>
              <w:rPr>
                <w:rFonts w:ascii="Arial" w:hAnsi="Arial" w:cs="Arial"/>
              </w:rPr>
              <w:t xml:space="preserve">Results show a 7% improvement across the whole school in 2014 (2011 results had (77%) “at” or “above” and the 2012 results had (80%) +3% “at” or “above” the 2013 had (81%) +1% “at” or “above”  and 2014 had (88%) +7% of students achieving “at” or “above” across the school.  </w:t>
            </w:r>
          </w:p>
          <w:p w14:paraId="334BEF8C" w14:textId="77777777" w:rsidR="00CD50BF" w:rsidRDefault="00CD50BF" w:rsidP="00A95B0D">
            <w:pPr>
              <w:rPr>
                <w:rFonts w:ascii="Arial" w:hAnsi="Arial" w:cs="Arial"/>
              </w:rPr>
            </w:pPr>
            <w:r>
              <w:rPr>
                <w:rFonts w:ascii="Arial" w:hAnsi="Arial" w:cs="Arial"/>
              </w:rPr>
              <w:t>This learning area will continue to be a focus in 2015 as it is still below the achievement levels of reading and mathematics although the gap narrowed in 2014.</w:t>
            </w:r>
          </w:p>
          <w:p w14:paraId="033196EB" w14:textId="77777777" w:rsidR="00CD50BF" w:rsidRPr="008B3B3A" w:rsidRDefault="00CD50BF" w:rsidP="00A95B0D">
            <w:pPr>
              <w:rPr>
                <w:rFonts w:ascii="Arial" w:hAnsi="Arial" w:cs="Arial"/>
              </w:rPr>
            </w:pPr>
            <w:r>
              <w:rPr>
                <w:rFonts w:ascii="Arial" w:hAnsi="Arial" w:cs="Arial"/>
              </w:rPr>
              <w:t>We continue to believe that future improvements in written language and in the other 2 learning areas is dependent on all teachers across the school implementing agreed to best practice.</w:t>
            </w:r>
          </w:p>
          <w:p w14:paraId="20776CAC" w14:textId="77777777" w:rsidR="00CD50BF" w:rsidRDefault="00CD50BF" w:rsidP="00A95B0D">
            <w:pPr>
              <w:rPr>
                <w:rFonts w:ascii="Arial" w:hAnsi="Arial" w:cs="Arial"/>
                <w:b/>
                <w:color w:val="FF0000"/>
              </w:rPr>
            </w:pPr>
            <w:r>
              <w:rPr>
                <w:rFonts w:ascii="Arial" w:hAnsi="Arial" w:cs="Arial"/>
                <w:b/>
                <w:color w:val="FF0000"/>
              </w:rPr>
              <w:t>Do we agree with the data?</w:t>
            </w:r>
          </w:p>
          <w:p w14:paraId="2090B7EA" w14:textId="77777777" w:rsidR="00CD50BF" w:rsidRDefault="00CD50BF" w:rsidP="00A95B0D">
            <w:pPr>
              <w:rPr>
                <w:rFonts w:ascii="Arial" w:hAnsi="Arial" w:cs="Arial"/>
                <w:b/>
                <w:color w:val="FF0000"/>
              </w:rPr>
            </w:pPr>
            <w:r>
              <w:rPr>
                <w:rFonts w:ascii="Arial" w:hAnsi="Arial" w:cs="Arial"/>
              </w:rPr>
              <w:t xml:space="preserve">These results are accurate, moderated and tend to be conservative to ensure we don’t overstate student achievement. We know through comparing our data with some other schools we tend to mark conservatively. </w:t>
            </w:r>
            <w:r>
              <w:rPr>
                <w:rFonts w:ascii="Arial" w:hAnsi="Arial" w:cs="Arial"/>
                <w:b/>
                <w:color w:val="FF0000"/>
              </w:rPr>
              <w:t>We advise that this data can’t reliably be compared to other schools’ data without moderation.</w:t>
            </w:r>
          </w:p>
          <w:p w14:paraId="6AEC43AD" w14:textId="77777777" w:rsidR="00CD50BF" w:rsidRDefault="00CD50BF" w:rsidP="00A95B0D">
            <w:pPr>
              <w:rPr>
                <w:rFonts w:ascii="Arial" w:hAnsi="Arial" w:cs="Arial"/>
                <w:b/>
                <w:color w:val="FF0000"/>
              </w:rPr>
            </w:pPr>
            <w:r>
              <w:rPr>
                <w:rFonts w:ascii="Arial" w:hAnsi="Arial" w:cs="Arial"/>
                <w:b/>
                <w:color w:val="FF0000"/>
              </w:rPr>
              <w:t>Variation of school data recorded on Musac Classroom Manager to MOE extracted Exel template</w:t>
            </w:r>
          </w:p>
          <w:p w14:paraId="04ED427B" w14:textId="77777777" w:rsidR="00CD50BF" w:rsidRDefault="00CD50BF" w:rsidP="00A95B0D">
            <w:pPr>
              <w:rPr>
                <w:rFonts w:ascii="Arial" w:hAnsi="Arial" w:cs="Arial"/>
              </w:rPr>
            </w:pPr>
            <w:r w:rsidRPr="00F14355">
              <w:rPr>
                <w:rFonts w:ascii="Arial" w:hAnsi="Arial" w:cs="Arial"/>
              </w:rPr>
              <w:t xml:space="preserve">We use Musac </w:t>
            </w:r>
            <w:r>
              <w:rPr>
                <w:rFonts w:ascii="Arial" w:hAnsi="Arial" w:cs="Arial"/>
              </w:rPr>
              <w:t xml:space="preserve">Student Manager and </w:t>
            </w:r>
            <w:r w:rsidRPr="00F14355">
              <w:rPr>
                <w:rFonts w:ascii="Arial" w:hAnsi="Arial" w:cs="Arial"/>
              </w:rPr>
              <w:t xml:space="preserve">Classroom Manager </w:t>
            </w:r>
            <w:r>
              <w:rPr>
                <w:rFonts w:ascii="Arial" w:hAnsi="Arial" w:cs="Arial"/>
              </w:rPr>
              <w:t>data base. T</w:t>
            </w:r>
            <w:r w:rsidRPr="00F14355">
              <w:rPr>
                <w:rFonts w:ascii="Arial" w:hAnsi="Arial" w:cs="Arial"/>
              </w:rPr>
              <w:t xml:space="preserve">he data reported has come from the MOE Exel extracted data where by Cashmere Primary School data went through a 4 step process to ensure data from years 1 – 4 was grouped and reported by the anniversary of each child being at school i.e. 40 weeks, 80 weeks and 120 weeks. This resulted in some children </w:t>
            </w:r>
            <w:r>
              <w:rPr>
                <w:rFonts w:ascii="Arial" w:hAnsi="Arial" w:cs="Arial"/>
              </w:rPr>
              <w:t>(</w:t>
            </w:r>
            <w:r w:rsidRPr="00F14355">
              <w:rPr>
                <w:rFonts w:ascii="Arial" w:hAnsi="Arial" w:cs="Arial"/>
              </w:rPr>
              <w:t>who according to our EOY data had reached “at” the standard</w:t>
            </w:r>
            <w:r>
              <w:rPr>
                <w:rFonts w:ascii="Arial" w:hAnsi="Arial" w:cs="Arial"/>
              </w:rPr>
              <w:t>)</w:t>
            </w:r>
            <w:r w:rsidRPr="00F14355">
              <w:rPr>
                <w:rFonts w:ascii="Arial" w:hAnsi="Arial" w:cs="Arial"/>
              </w:rPr>
              <w:t xml:space="preserve"> being grouped in the “below” category because their anniversary date was </w:t>
            </w:r>
            <w:r>
              <w:rPr>
                <w:rFonts w:ascii="Arial" w:hAnsi="Arial" w:cs="Arial"/>
              </w:rPr>
              <w:t>before</w:t>
            </w:r>
            <w:r w:rsidRPr="00F14355">
              <w:rPr>
                <w:rFonts w:ascii="Arial" w:hAnsi="Arial" w:cs="Arial"/>
              </w:rPr>
              <w:t xml:space="preserve"> the en</w:t>
            </w:r>
            <w:r>
              <w:rPr>
                <w:rFonts w:ascii="Arial" w:hAnsi="Arial" w:cs="Arial"/>
              </w:rPr>
              <w:t>d of year. A</w:t>
            </w:r>
            <w:r w:rsidRPr="00F14355">
              <w:rPr>
                <w:rFonts w:ascii="Arial" w:hAnsi="Arial" w:cs="Arial"/>
              </w:rPr>
              <w:t>t that stage the data entered and recorded on our data base showed the child was close to the standard but not “at” the standard</w:t>
            </w:r>
            <w:r>
              <w:rPr>
                <w:rFonts w:ascii="Arial" w:hAnsi="Arial" w:cs="Arial"/>
              </w:rPr>
              <w:t>. S</w:t>
            </w:r>
            <w:r w:rsidRPr="00F14355">
              <w:rPr>
                <w:rFonts w:ascii="Arial" w:hAnsi="Arial" w:cs="Arial"/>
              </w:rPr>
              <w:t xml:space="preserve">ubsequently </w:t>
            </w:r>
            <w:r>
              <w:rPr>
                <w:rFonts w:ascii="Arial" w:hAnsi="Arial" w:cs="Arial"/>
              </w:rPr>
              <w:t xml:space="preserve">the child </w:t>
            </w:r>
            <w:r w:rsidRPr="00F14355">
              <w:rPr>
                <w:rFonts w:ascii="Arial" w:hAnsi="Arial" w:cs="Arial"/>
              </w:rPr>
              <w:t>has reached or even surpassed the standard</w:t>
            </w:r>
            <w:r>
              <w:rPr>
                <w:rFonts w:ascii="Arial" w:hAnsi="Arial" w:cs="Arial"/>
              </w:rPr>
              <w:t xml:space="preserve"> but this isn’t reflected in the extracted data</w:t>
            </w:r>
            <w:r w:rsidRPr="00F14355">
              <w:rPr>
                <w:rFonts w:ascii="Arial" w:hAnsi="Arial" w:cs="Arial"/>
              </w:rPr>
              <w:t>. Also to some degree it depended on when data was recorded and entered. This may have effected about 10 – 15 Year 1 – 3 children</w:t>
            </w:r>
            <w:r>
              <w:rPr>
                <w:rFonts w:ascii="Arial" w:hAnsi="Arial" w:cs="Arial"/>
              </w:rPr>
              <w:t xml:space="preserve"> and will have altered our percentage results by 1% - 5%</w:t>
            </w:r>
            <w:r w:rsidRPr="00F14355">
              <w:rPr>
                <w:rFonts w:ascii="Arial" w:hAnsi="Arial" w:cs="Arial"/>
              </w:rPr>
              <w:t>.</w:t>
            </w:r>
          </w:p>
          <w:p w14:paraId="1D1C1B43" w14:textId="77777777" w:rsidR="00CD50BF" w:rsidRDefault="00CD50BF" w:rsidP="00A95B0D">
            <w:pPr>
              <w:rPr>
                <w:rFonts w:ascii="Arial" w:hAnsi="Arial" w:cs="Arial"/>
                <w:b/>
                <w:color w:val="FF0000"/>
              </w:rPr>
            </w:pPr>
            <w:r>
              <w:rPr>
                <w:rFonts w:ascii="Arial" w:hAnsi="Arial" w:cs="Arial"/>
                <w:b/>
                <w:color w:val="FF0000"/>
              </w:rPr>
              <w:t>Post-Traumatic Stress</w:t>
            </w:r>
          </w:p>
          <w:p w14:paraId="5A4EA41E" w14:textId="77777777" w:rsidR="00CD50BF" w:rsidRPr="00833ED2" w:rsidRDefault="00CD50BF" w:rsidP="00A95B0D">
            <w:pPr>
              <w:rPr>
                <w:rFonts w:ascii="Arial" w:hAnsi="Arial" w:cs="Arial"/>
              </w:rPr>
            </w:pPr>
            <w:r w:rsidRPr="003C6220">
              <w:rPr>
                <w:rFonts w:ascii="Arial" w:hAnsi="Arial" w:cs="Arial"/>
              </w:rPr>
              <w:t>R</w:t>
            </w:r>
            <w:r>
              <w:rPr>
                <w:rFonts w:ascii="Arial" w:hAnsi="Arial" w:cs="Arial"/>
              </w:rPr>
              <w:t>ecent r</w:t>
            </w:r>
            <w:r w:rsidRPr="003C6220">
              <w:rPr>
                <w:rFonts w:ascii="Arial" w:hAnsi="Arial" w:cs="Arial"/>
              </w:rPr>
              <w:t>esearch</w:t>
            </w:r>
            <w:r>
              <w:rPr>
                <w:rFonts w:ascii="Arial" w:hAnsi="Arial" w:cs="Arial"/>
              </w:rPr>
              <w:t xml:space="preserve"> from the University of Canterbury</w:t>
            </w:r>
            <w:r w:rsidRPr="003C6220">
              <w:rPr>
                <w:rFonts w:ascii="Arial" w:hAnsi="Arial" w:cs="Arial"/>
              </w:rPr>
              <w:t xml:space="preserve"> has shown that</w:t>
            </w:r>
            <w:r>
              <w:rPr>
                <w:rFonts w:ascii="Arial" w:hAnsi="Arial" w:cs="Arial"/>
              </w:rPr>
              <w:t xml:space="preserve"> post-traumatic stress has been evident in children/ families across Christchurch which may have impacted on this data.</w:t>
            </w:r>
          </w:p>
        </w:tc>
      </w:tr>
      <w:tr w:rsidR="00CD50BF" w14:paraId="0398861A" w14:textId="77777777" w:rsidTr="00A95B0D">
        <w:trPr>
          <w:trHeight w:val="28"/>
        </w:trPr>
        <w:tc>
          <w:tcPr>
            <w:tcW w:w="10632" w:type="dxa"/>
            <w:tcBorders>
              <w:top w:val="single" w:sz="4" w:space="0" w:color="auto"/>
              <w:left w:val="single" w:sz="4" w:space="0" w:color="auto"/>
              <w:bottom w:val="single" w:sz="4" w:space="0" w:color="auto"/>
              <w:right w:val="single" w:sz="4" w:space="0" w:color="auto"/>
            </w:tcBorders>
          </w:tcPr>
          <w:p w14:paraId="57F10DF7" w14:textId="77777777" w:rsidR="00CD50BF" w:rsidRDefault="00CD50BF" w:rsidP="00A95B0D">
            <w:pPr>
              <w:pStyle w:val="NormalWeb"/>
              <w:shd w:val="clear" w:color="auto" w:fill="95B3D7"/>
              <w:spacing w:before="0" w:beforeAutospacing="0" w:after="0" w:afterAutospacing="0" w:line="276" w:lineRule="auto"/>
              <w:rPr>
                <w:rFonts w:ascii="Arial" w:hAnsi="Arial" w:cs="Arial"/>
                <w:b/>
              </w:rPr>
            </w:pPr>
            <w:r>
              <w:rPr>
                <w:rFonts w:ascii="Arial" w:hAnsi="Arial" w:cs="Arial"/>
                <w:b/>
              </w:rPr>
              <w:t>NAG 2A (b)(ii) Basis for identifying areas for improvement</w:t>
            </w:r>
          </w:p>
          <w:p w14:paraId="55B1B2BE" w14:textId="77777777" w:rsidR="00CD50BF" w:rsidRDefault="00CD50BF" w:rsidP="00A95B0D">
            <w:pPr>
              <w:pStyle w:val="NormalWeb"/>
              <w:spacing w:before="0" w:beforeAutospacing="0" w:after="0" w:afterAutospacing="0" w:line="276" w:lineRule="auto"/>
              <w:rPr>
                <w:rFonts w:ascii="Arial" w:hAnsi="Arial" w:cs="Arial"/>
                <w:b/>
              </w:rPr>
            </w:pPr>
          </w:p>
          <w:p w14:paraId="1D230016" w14:textId="77777777" w:rsidR="00CD50BF" w:rsidRPr="00DC7859" w:rsidRDefault="00CD50BF" w:rsidP="00A95B0D">
            <w:pPr>
              <w:pStyle w:val="NormalWeb"/>
              <w:spacing w:before="0" w:beforeAutospacing="0" w:after="0" w:afterAutospacing="0" w:line="276" w:lineRule="auto"/>
              <w:rPr>
                <w:rFonts w:ascii="Arial" w:hAnsi="Arial" w:cs="Arial"/>
                <w:b/>
              </w:rPr>
            </w:pPr>
            <w:r w:rsidRPr="00DC7859">
              <w:rPr>
                <w:rFonts w:ascii="Arial" w:hAnsi="Arial" w:cs="Arial"/>
                <w:b/>
              </w:rPr>
              <w:t xml:space="preserve">Methodology: </w:t>
            </w:r>
          </w:p>
          <w:p w14:paraId="62C71665" w14:textId="77777777" w:rsidR="00CD50BF" w:rsidRPr="005566E4" w:rsidRDefault="00CD50BF" w:rsidP="00A95B0D">
            <w:pPr>
              <w:pStyle w:val="NormalWeb"/>
              <w:spacing w:before="0" w:beforeAutospacing="0" w:after="0" w:afterAutospacing="0" w:line="276" w:lineRule="auto"/>
              <w:rPr>
                <w:rFonts w:ascii="Arial" w:hAnsi="Arial" w:cs="Arial"/>
                <w:sz w:val="22"/>
                <w:szCs w:val="22"/>
              </w:rPr>
            </w:pPr>
            <w:r w:rsidRPr="005566E4">
              <w:rPr>
                <w:rFonts w:ascii="Arial" w:hAnsi="Arial" w:cs="Arial"/>
                <w:sz w:val="22"/>
                <w:szCs w:val="22"/>
              </w:rPr>
              <w:t>We use the 3 step PLG (professional learning group) process of analysis of the data (what is the data saying?), validity of the data (do we believe it? Is it accurate?) And then finally where is the challenge for us as teachers and as a school community? (This 3</w:t>
            </w:r>
            <w:r w:rsidRPr="005566E4">
              <w:rPr>
                <w:rFonts w:ascii="Arial" w:hAnsi="Arial" w:cs="Arial"/>
                <w:sz w:val="22"/>
                <w:szCs w:val="22"/>
                <w:vertAlign w:val="superscript"/>
              </w:rPr>
              <w:t>rd</w:t>
            </w:r>
            <w:r w:rsidRPr="005566E4">
              <w:rPr>
                <w:rFonts w:ascii="Arial" w:hAnsi="Arial" w:cs="Arial"/>
                <w:sz w:val="22"/>
                <w:szCs w:val="22"/>
              </w:rPr>
              <w:t xml:space="preserve"> step </w:t>
            </w:r>
            <w:r>
              <w:rPr>
                <w:rFonts w:ascii="Arial" w:hAnsi="Arial" w:cs="Arial"/>
                <w:sz w:val="22"/>
                <w:szCs w:val="22"/>
              </w:rPr>
              <w:t>gave</w:t>
            </w:r>
            <w:r w:rsidRPr="005566E4">
              <w:rPr>
                <w:rFonts w:ascii="Arial" w:hAnsi="Arial" w:cs="Arial"/>
                <w:sz w:val="22"/>
                <w:szCs w:val="22"/>
              </w:rPr>
              <w:t xml:space="preserve"> us our 2015 set of goals and targets).</w:t>
            </w:r>
          </w:p>
          <w:p w14:paraId="0AB308B2" w14:textId="77777777" w:rsidR="00CD50BF" w:rsidRPr="005566E4" w:rsidRDefault="00CD50BF" w:rsidP="00A95B0D">
            <w:pPr>
              <w:pStyle w:val="NormalWeb"/>
              <w:spacing w:before="0" w:beforeAutospacing="0" w:after="0" w:afterAutospacing="0" w:line="276" w:lineRule="auto"/>
              <w:rPr>
                <w:rFonts w:ascii="Arial" w:hAnsi="Arial" w:cs="Arial"/>
                <w:sz w:val="22"/>
                <w:szCs w:val="22"/>
              </w:rPr>
            </w:pPr>
          </w:p>
          <w:p w14:paraId="11614CA3" w14:textId="77777777" w:rsidR="00CD50BF" w:rsidRDefault="00CD50BF" w:rsidP="00A95B0D">
            <w:pPr>
              <w:pStyle w:val="NormalWeb"/>
              <w:spacing w:before="0" w:beforeAutospacing="0" w:after="0" w:afterAutospacing="0" w:line="276" w:lineRule="auto"/>
              <w:rPr>
                <w:rFonts w:ascii="Arial" w:hAnsi="Arial" w:cs="Arial"/>
                <w:sz w:val="22"/>
                <w:szCs w:val="22"/>
              </w:rPr>
            </w:pPr>
            <w:r w:rsidRPr="005566E4">
              <w:rPr>
                <w:rFonts w:ascii="Arial" w:hAnsi="Arial" w:cs="Arial"/>
                <w:sz w:val="22"/>
                <w:szCs w:val="22"/>
              </w:rPr>
              <w:t>In the first year of the introduction to National Standards we spent a significant amount of time as a leadership team and staff deciding on how we would interpret the national standard data and how we would moderate the data between</w:t>
            </w:r>
            <w:r>
              <w:rPr>
                <w:rFonts w:ascii="Arial" w:hAnsi="Arial" w:cs="Arial"/>
                <w:sz w:val="22"/>
                <w:szCs w:val="22"/>
              </w:rPr>
              <w:t xml:space="preserve"> classes and across the school.</w:t>
            </w:r>
          </w:p>
          <w:p w14:paraId="5CC5D6FD" w14:textId="77777777" w:rsidR="00CD50BF" w:rsidRPr="005566E4" w:rsidRDefault="00CD50BF" w:rsidP="00A95B0D">
            <w:pPr>
              <w:pStyle w:val="NormalWeb"/>
              <w:spacing w:before="0" w:beforeAutospacing="0" w:after="0" w:afterAutospacing="0" w:line="276" w:lineRule="auto"/>
              <w:rPr>
                <w:rFonts w:ascii="Arial" w:hAnsi="Arial" w:cs="Arial"/>
                <w:sz w:val="22"/>
                <w:szCs w:val="22"/>
              </w:rPr>
            </w:pPr>
          </w:p>
          <w:p w14:paraId="2CD59695" w14:textId="77777777" w:rsidR="00CD50BF" w:rsidRDefault="00CD50BF" w:rsidP="00A95B0D">
            <w:pPr>
              <w:rPr>
                <w:rFonts w:ascii="Arial" w:hAnsi="Arial" w:cs="Arial"/>
              </w:rPr>
            </w:pPr>
            <w:r>
              <w:rPr>
                <w:rFonts w:ascii="Arial" w:hAnsi="Arial" w:cs="Arial"/>
              </w:rPr>
              <w:t xml:space="preserve">The achievement levels presented in the data reporting template and referred to above are based on multi-sourced norm referenced assessment tools and qualitative criterion based evidence including work samples, learning progressions of curriculum levels and the knowledge of the student from teacher, peer and parent perspective to inform us of an overall teacher judgment (OTJ) to determine where a student is in relation to national standards. </w:t>
            </w:r>
          </w:p>
          <w:p w14:paraId="18FE9079" w14:textId="77777777" w:rsidR="00CD50BF" w:rsidRPr="00711A6E" w:rsidRDefault="00CD50BF" w:rsidP="00A95B0D">
            <w:pPr>
              <w:rPr>
                <w:rFonts w:ascii="Arial" w:hAnsi="Arial" w:cs="Arial"/>
                <w:b/>
              </w:rPr>
            </w:pPr>
            <w:r w:rsidRPr="00711A6E">
              <w:rPr>
                <w:rFonts w:ascii="Arial" w:hAnsi="Arial" w:cs="Arial"/>
                <w:b/>
              </w:rPr>
              <w:t>End of the Year AT expected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960"/>
              <w:gridCol w:w="1984"/>
              <w:gridCol w:w="1872"/>
              <w:gridCol w:w="2722"/>
            </w:tblGrid>
            <w:tr w:rsidR="00CD50BF" w:rsidRPr="00DC7859" w14:paraId="003B6CA5" w14:textId="77777777" w:rsidTr="00A95B0D">
              <w:tc>
                <w:tcPr>
                  <w:tcW w:w="1963" w:type="dxa"/>
                  <w:tcBorders>
                    <w:top w:val="single" w:sz="4" w:space="0" w:color="auto"/>
                    <w:left w:val="single" w:sz="4" w:space="0" w:color="auto"/>
                    <w:bottom w:val="single" w:sz="4" w:space="0" w:color="auto"/>
                    <w:right w:val="single" w:sz="4" w:space="0" w:color="auto"/>
                  </w:tcBorders>
                </w:tcPr>
                <w:p w14:paraId="78F92A3A" w14:textId="77777777" w:rsidR="00CD50BF" w:rsidRPr="00DC7859" w:rsidRDefault="00CD50BF" w:rsidP="00A95B0D">
                  <w:pPr>
                    <w:rPr>
                      <w:rFonts w:ascii="Arial" w:hAnsi="Arial" w:cs="Arial"/>
                      <w:b/>
                      <w:sz w:val="20"/>
                      <w:szCs w:val="20"/>
                    </w:rPr>
                  </w:pPr>
                </w:p>
              </w:tc>
              <w:tc>
                <w:tcPr>
                  <w:tcW w:w="2030" w:type="dxa"/>
                  <w:tcBorders>
                    <w:top w:val="single" w:sz="4" w:space="0" w:color="auto"/>
                    <w:left w:val="single" w:sz="4" w:space="0" w:color="auto"/>
                    <w:bottom w:val="single" w:sz="4" w:space="0" w:color="auto"/>
                    <w:right w:val="single" w:sz="4" w:space="0" w:color="auto"/>
                  </w:tcBorders>
                  <w:hideMark/>
                </w:tcPr>
                <w:p w14:paraId="09D5DCB9" w14:textId="77777777" w:rsidR="00CD50BF" w:rsidRPr="00DC7859" w:rsidRDefault="00CD50BF" w:rsidP="00A95B0D">
                  <w:pPr>
                    <w:rPr>
                      <w:rFonts w:ascii="Arial" w:hAnsi="Arial" w:cs="Arial"/>
                      <w:b/>
                      <w:sz w:val="20"/>
                      <w:szCs w:val="20"/>
                    </w:rPr>
                  </w:pPr>
                  <w:r w:rsidRPr="00DC7859">
                    <w:rPr>
                      <w:rFonts w:ascii="Arial" w:hAnsi="Arial" w:cs="Arial"/>
                      <w:b/>
                      <w:sz w:val="20"/>
                      <w:szCs w:val="20"/>
                    </w:rPr>
                    <w:t>Reading</w:t>
                  </w:r>
                </w:p>
              </w:tc>
              <w:tc>
                <w:tcPr>
                  <w:tcW w:w="2052" w:type="dxa"/>
                  <w:tcBorders>
                    <w:top w:val="single" w:sz="4" w:space="0" w:color="auto"/>
                    <w:left w:val="single" w:sz="4" w:space="0" w:color="auto"/>
                    <w:bottom w:val="single" w:sz="4" w:space="0" w:color="auto"/>
                    <w:right w:val="single" w:sz="4" w:space="0" w:color="auto"/>
                  </w:tcBorders>
                  <w:hideMark/>
                </w:tcPr>
                <w:p w14:paraId="6C815D2D" w14:textId="77777777" w:rsidR="00CD50BF" w:rsidRPr="00DC7859" w:rsidRDefault="00CD50BF" w:rsidP="00A95B0D">
                  <w:pPr>
                    <w:rPr>
                      <w:rFonts w:ascii="Arial" w:hAnsi="Arial" w:cs="Arial"/>
                      <w:b/>
                      <w:sz w:val="20"/>
                      <w:szCs w:val="20"/>
                    </w:rPr>
                  </w:pPr>
                  <w:r w:rsidRPr="00DC7859">
                    <w:rPr>
                      <w:rFonts w:ascii="Arial" w:hAnsi="Arial" w:cs="Arial"/>
                      <w:b/>
                      <w:sz w:val="20"/>
                      <w:szCs w:val="20"/>
                    </w:rPr>
                    <w:t>Writing</w:t>
                  </w:r>
                </w:p>
              </w:tc>
              <w:tc>
                <w:tcPr>
                  <w:tcW w:w="1905" w:type="dxa"/>
                  <w:tcBorders>
                    <w:top w:val="single" w:sz="4" w:space="0" w:color="auto"/>
                    <w:left w:val="single" w:sz="4" w:space="0" w:color="auto"/>
                    <w:bottom w:val="single" w:sz="4" w:space="0" w:color="auto"/>
                    <w:right w:val="single" w:sz="4" w:space="0" w:color="auto"/>
                  </w:tcBorders>
                  <w:hideMark/>
                </w:tcPr>
                <w:p w14:paraId="39E07B7D" w14:textId="77777777" w:rsidR="00CD50BF" w:rsidRPr="00DC7859" w:rsidRDefault="00CD50BF" w:rsidP="00A95B0D">
                  <w:pPr>
                    <w:rPr>
                      <w:rFonts w:ascii="Arial" w:hAnsi="Arial" w:cs="Arial"/>
                      <w:b/>
                      <w:sz w:val="20"/>
                      <w:szCs w:val="20"/>
                    </w:rPr>
                  </w:pPr>
                  <w:r w:rsidRPr="00DC7859">
                    <w:rPr>
                      <w:rFonts w:ascii="Arial" w:hAnsi="Arial" w:cs="Arial"/>
                      <w:b/>
                      <w:sz w:val="20"/>
                      <w:szCs w:val="20"/>
                    </w:rPr>
                    <w:t>Maths numeracy</w:t>
                  </w:r>
                </w:p>
              </w:tc>
              <w:tc>
                <w:tcPr>
                  <w:tcW w:w="2852" w:type="dxa"/>
                  <w:tcBorders>
                    <w:top w:val="single" w:sz="4" w:space="0" w:color="auto"/>
                    <w:left w:val="single" w:sz="4" w:space="0" w:color="auto"/>
                    <w:bottom w:val="single" w:sz="4" w:space="0" w:color="auto"/>
                    <w:right w:val="single" w:sz="4" w:space="0" w:color="auto"/>
                  </w:tcBorders>
                  <w:hideMark/>
                </w:tcPr>
                <w:p w14:paraId="73EE32DD" w14:textId="77777777" w:rsidR="00CD50BF" w:rsidRPr="00DC7859" w:rsidRDefault="00CD50BF" w:rsidP="00A95B0D">
                  <w:pPr>
                    <w:rPr>
                      <w:rFonts w:ascii="Arial" w:hAnsi="Arial" w:cs="Arial"/>
                      <w:b/>
                      <w:sz w:val="20"/>
                      <w:szCs w:val="20"/>
                    </w:rPr>
                  </w:pPr>
                  <w:r w:rsidRPr="00DC7859">
                    <w:rPr>
                      <w:rFonts w:ascii="Arial" w:hAnsi="Arial" w:cs="Arial"/>
                      <w:b/>
                      <w:sz w:val="20"/>
                      <w:szCs w:val="20"/>
                    </w:rPr>
                    <w:t>Maths</w:t>
                  </w:r>
                </w:p>
                <w:p w14:paraId="14223AEE" w14:textId="77777777" w:rsidR="00CD50BF" w:rsidRPr="00DC7859" w:rsidRDefault="00CD50BF" w:rsidP="00A95B0D">
                  <w:pPr>
                    <w:rPr>
                      <w:rFonts w:ascii="Arial" w:hAnsi="Arial" w:cs="Arial"/>
                      <w:b/>
                      <w:sz w:val="20"/>
                      <w:szCs w:val="20"/>
                    </w:rPr>
                  </w:pPr>
                  <w:r w:rsidRPr="00DC7859">
                    <w:rPr>
                      <w:rFonts w:ascii="Arial" w:hAnsi="Arial" w:cs="Arial"/>
                      <w:b/>
                      <w:sz w:val="20"/>
                      <w:szCs w:val="20"/>
                    </w:rPr>
                    <w:t>Other strands</w:t>
                  </w:r>
                </w:p>
              </w:tc>
            </w:tr>
            <w:tr w:rsidR="00CD50BF" w:rsidRPr="00DC7859" w14:paraId="627FB033"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02C3A18E" w14:textId="77777777" w:rsidR="00CD50BF" w:rsidRPr="00DC7859" w:rsidRDefault="00CD50BF" w:rsidP="00A95B0D">
                  <w:pPr>
                    <w:rPr>
                      <w:rFonts w:ascii="Arial" w:hAnsi="Arial" w:cs="Arial"/>
                      <w:b/>
                      <w:sz w:val="20"/>
                      <w:szCs w:val="20"/>
                    </w:rPr>
                  </w:pPr>
                  <w:r w:rsidRPr="00DC7859">
                    <w:rPr>
                      <w:rFonts w:ascii="Arial" w:hAnsi="Arial" w:cs="Arial"/>
                      <w:b/>
                      <w:sz w:val="20"/>
                      <w:szCs w:val="20"/>
                    </w:rPr>
                    <w:t xml:space="preserve">After 1 year </w:t>
                  </w:r>
                </w:p>
              </w:tc>
              <w:tc>
                <w:tcPr>
                  <w:tcW w:w="2030" w:type="dxa"/>
                  <w:tcBorders>
                    <w:top w:val="single" w:sz="4" w:space="0" w:color="auto"/>
                    <w:left w:val="single" w:sz="4" w:space="0" w:color="auto"/>
                    <w:bottom w:val="single" w:sz="4" w:space="0" w:color="auto"/>
                    <w:right w:val="single" w:sz="4" w:space="0" w:color="auto"/>
                  </w:tcBorders>
                  <w:hideMark/>
                </w:tcPr>
                <w:p w14:paraId="26196D20" w14:textId="77777777" w:rsidR="00CD50BF" w:rsidRPr="00DC7859" w:rsidRDefault="00CD50BF" w:rsidP="00A95B0D">
                  <w:pPr>
                    <w:rPr>
                      <w:rFonts w:ascii="Arial" w:hAnsi="Arial" w:cs="Arial"/>
                      <w:sz w:val="20"/>
                      <w:szCs w:val="20"/>
                    </w:rPr>
                  </w:pPr>
                  <w:r w:rsidRPr="00DC7859">
                    <w:rPr>
                      <w:rFonts w:ascii="Arial" w:hAnsi="Arial" w:cs="Arial"/>
                      <w:sz w:val="20"/>
                      <w:szCs w:val="20"/>
                    </w:rPr>
                    <w:t>Green 1 -3</w:t>
                  </w:r>
                </w:p>
                <w:p w14:paraId="387C30BE" w14:textId="77777777" w:rsidR="00CD50BF" w:rsidRPr="00DC7859" w:rsidRDefault="00CD50BF" w:rsidP="00A95B0D">
                  <w:pPr>
                    <w:rPr>
                      <w:rFonts w:ascii="Arial" w:hAnsi="Arial" w:cs="Arial"/>
                      <w:sz w:val="20"/>
                      <w:szCs w:val="20"/>
                    </w:rPr>
                  </w:pPr>
                  <w:r w:rsidRPr="00DC7859">
                    <w:rPr>
                      <w:rFonts w:ascii="Arial" w:hAnsi="Arial" w:cs="Arial"/>
                      <w:sz w:val="20"/>
                      <w:szCs w:val="20"/>
                    </w:rPr>
                    <w:t>Orange</w:t>
                  </w:r>
                </w:p>
              </w:tc>
              <w:tc>
                <w:tcPr>
                  <w:tcW w:w="2052" w:type="dxa"/>
                  <w:tcBorders>
                    <w:top w:val="single" w:sz="4" w:space="0" w:color="auto"/>
                    <w:left w:val="single" w:sz="4" w:space="0" w:color="auto"/>
                    <w:bottom w:val="single" w:sz="4" w:space="0" w:color="auto"/>
                    <w:right w:val="single" w:sz="4" w:space="0" w:color="auto"/>
                  </w:tcBorders>
                  <w:hideMark/>
                </w:tcPr>
                <w:p w14:paraId="0F66B198"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1p</w:t>
                  </w:r>
                </w:p>
              </w:tc>
              <w:tc>
                <w:tcPr>
                  <w:tcW w:w="1905" w:type="dxa"/>
                  <w:tcBorders>
                    <w:top w:val="single" w:sz="4" w:space="0" w:color="auto"/>
                    <w:left w:val="single" w:sz="4" w:space="0" w:color="auto"/>
                    <w:bottom w:val="single" w:sz="4" w:space="0" w:color="auto"/>
                    <w:right w:val="single" w:sz="4" w:space="0" w:color="auto"/>
                  </w:tcBorders>
                  <w:hideMark/>
                </w:tcPr>
                <w:p w14:paraId="71B7D7CD" w14:textId="77777777" w:rsidR="00CD50BF" w:rsidRPr="00DC7859" w:rsidRDefault="00CD50BF" w:rsidP="00A95B0D">
                  <w:pPr>
                    <w:rPr>
                      <w:rFonts w:ascii="Arial" w:hAnsi="Arial" w:cs="Arial"/>
                      <w:sz w:val="20"/>
                      <w:szCs w:val="20"/>
                    </w:rPr>
                  </w:pPr>
                  <w:r w:rsidRPr="00DC7859">
                    <w:rPr>
                      <w:rFonts w:ascii="Arial" w:hAnsi="Arial" w:cs="Arial"/>
                      <w:sz w:val="20"/>
                      <w:szCs w:val="20"/>
                    </w:rPr>
                    <w:t>Stage 3</w:t>
                  </w:r>
                </w:p>
              </w:tc>
              <w:tc>
                <w:tcPr>
                  <w:tcW w:w="2852" w:type="dxa"/>
                  <w:tcBorders>
                    <w:top w:val="single" w:sz="4" w:space="0" w:color="auto"/>
                    <w:left w:val="single" w:sz="4" w:space="0" w:color="auto"/>
                    <w:bottom w:val="single" w:sz="4" w:space="0" w:color="auto"/>
                    <w:right w:val="single" w:sz="4" w:space="0" w:color="auto"/>
                  </w:tcBorders>
                  <w:hideMark/>
                </w:tcPr>
                <w:p w14:paraId="34DECD88"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1p</w:t>
                  </w:r>
                </w:p>
              </w:tc>
            </w:tr>
            <w:tr w:rsidR="00CD50BF" w:rsidRPr="00DC7859" w14:paraId="383AEDBA"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57976D8B" w14:textId="77777777" w:rsidR="00CD50BF" w:rsidRPr="00DC7859" w:rsidRDefault="00CD50BF" w:rsidP="00A95B0D">
                  <w:pPr>
                    <w:rPr>
                      <w:rFonts w:ascii="Arial" w:hAnsi="Arial" w:cs="Arial"/>
                      <w:b/>
                      <w:sz w:val="20"/>
                      <w:szCs w:val="20"/>
                    </w:rPr>
                  </w:pPr>
                  <w:r w:rsidRPr="00DC7859">
                    <w:rPr>
                      <w:rFonts w:ascii="Arial" w:hAnsi="Arial" w:cs="Arial"/>
                      <w:b/>
                      <w:sz w:val="20"/>
                      <w:szCs w:val="20"/>
                    </w:rPr>
                    <w:t xml:space="preserve">After 2 years </w:t>
                  </w:r>
                </w:p>
              </w:tc>
              <w:tc>
                <w:tcPr>
                  <w:tcW w:w="2030" w:type="dxa"/>
                  <w:tcBorders>
                    <w:top w:val="single" w:sz="4" w:space="0" w:color="auto"/>
                    <w:left w:val="single" w:sz="4" w:space="0" w:color="auto"/>
                    <w:bottom w:val="single" w:sz="4" w:space="0" w:color="auto"/>
                    <w:right w:val="single" w:sz="4" w:space="0" w:color="auto"/>
                  </w:tcBorders>
                  <w:hideMark/>
                </w:tcPr>
                <w:p w14:paraId="67523F3E" w14:textId="77777777" w:rsidR="00CD50BF" w:rsidRPr="00DC7859" w:rsidRDefault="00CD50BF" w:rsidP="00A95B0D">
                  <w:pPr>
                    <w:rPr>
                      <w:rFonts w:ascii="Arial" w:hAnsi="Arial" w:cs="Arial"/>
                      <w:sz w:val="20"/>
                      <w:szCs w:val="20"/>
                    </w:rPr>
                  </w:pPr>
                  <w:r w:rsidRPr="00DC7859">
                    <w:rPr>
                      <w:rFonts w:ascii="Arial" w:hAnsi="Arial" w:cs="Arial"/>
                      <w:sz w:val="20"/>
                      <w:szCs w:val="20"/>
                    </w:rPr>
                    <w:t xml:space="preserve">Turquoise  </w:t>
                  </w:r>
                </w:p>
                <w:p w14:paraId="59510DE1" w14:textId="77777777" w:rsidR="00CD50BF" w:rsidRPr="00DC7859" w:rsidRDefault="00CD50BF" w:rsidP="00A95B0D">
                  <w:pPr>
                    <w:rPr>
                      <w:rFonts w:ascii="Arial" w:hAnsi="Arial" w:cs="Arial"/>
                      <w:sz w:val="20"/>
                      <w:szCs w:val="20"/>
                    </w:rPr>
                  </w:pPr>
                  <w:r w:rsidRPr="00DC7859">
                    <w:rPr>
                      <w:rFonts w:ascii="Arial" w:hAnsi="Arial" w:cs="Arial"/>
                      <w:sz w:val="20"/>
                      <w:szCs w:val="20"/>
                    </w:rPr>
                    <w:t>Purple</w:t>
                  </w:r>
                </w:p>
              </w:tc>
              <w:tc>
                <w:tcPr>
                  <w:tcW w:w="2052" w:type="dxa"/>
                  <w:tcBorders>
                    <w:top w:val="single" w:sz="4" w:space="0" w:color="auto"/>
                    <w:left w:val="single" w:sz="4" w:space="0" w:color="auto"/>
                    <w:bottom w:val="single" w:sz="4" w:space="0" w:color="auto"/>
                    <w:right w:val="single" w:sz="4" w:space="0" w:color="auto"/>
                  </w:tcBorders>
                  <w:hideMark/>
                </w:tcPr>
                <w:p w14:paraId="158E6135"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1a</w:t>
                  </w:r>
                </w:p>
              </w:tc>
              <w:tc>
                <w:tcPr>
                  <w:tcW w:w="1905" w:type="dxa"/>
                  <w:tcBorders>
                    <w:top w:val="single" w:sz="4" w:space="0" w:color="auto"/>
                    <w:left w:val="single" w:sz="4" w:space="0" w:color="auto"/>
                    <w:bottom w:val="single" w:sz="4" w:space="0" w:color="auto"/>
                    <w:right w:val="single" w:sz="4" w:space="0" w:color="auto"/>
                  </w:tcBorders>
                  <w:hideMark/>
                </w:tcPr>
                <w:p w14:paraId="1233FA62" w14:textId="77777777" w:rsidR="00CD50BF" w:rsidRPr="00DC7859" w:rsidRDefault="00CD50BF" w:rsidP="00A95B0D">
                  <w:pPr>
                    <w:rPr>
                      <w:rFonts w:ascii="Arial" w:hAnsi="Arial" w:cs="Arial"/>
                      <w:sz w:val="20"/>
                      <w:szCs w:val="20"/>
                    </w:rPr>
                  </w:pPr>
                  <w:r w:rsidRPr="00DC7859">
                    <w:rPr>
                      <w:rFonts w:ascii="Arial" w:hAnsi="Arial" w:cs="Arial"/>
                      <w:sz w:val="20"/>
                      <w:szCs w:val="20"/>
                    </w:rPr>
                    <w:t>Mid/ end stage 4</w:t>
                  </w:r>
                </w:p>
              </w:tc>
              <w:tc>
                <w:tcPr>
                  <w:tcW w:w="2852" w:type="dxa"/>
                  <w:tcBorders>
                    <w:top w:val="single" w:sz="4" w:space="0" w:color="auto"/>
                    <w:left w:val="single" w:sz="4" w:space="0" w:color="auto"/>
                    <w:bottom w:val="single" w:sz="4" w:space="0" w:color="auto"/>
                    <w:right w:val="single" w:sz="4" w:space="0" w:color="auto"/>
                  </w:tcBorders>
                  <w:hideMark/>
                </w:tcPr>
                <w:p w14:paraId="6F194A0E"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1a</w:t>
                  </w:r>
                </w:p>
              </w:tc>
            </w:tr>
            <w:tr w:rsidR="00CD50BF" w:rsidRPr="00DC7859" w14:paraId="44F4F5C6"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47BECF1D" w14:textId="77777777" w:rsidR="00CD50BF" w:rsidRPr="00DC7859" w:rsidRDefault="00CD50BF" w:rsidP="00A95B0D">
                  <w:pPr>
                    <w:rPr>
                      <w:rFonts w:ascii="Arial" w:hAnsi="Arial" w:cs="Arial"/>
                      <w:b/>
                      <w:sz w:val="20"/>
                      <w:szCs w:val="20"/>
                    </w:rPr>
                  </w:pPr>
                  <w:r w:rsidRPr="00DC7859">
                    <w:rPr>
                      <w:rFonts w:ascii="Arial" w:hAnsi="Arial" w:cs="Arial"/>
                      <w:b/>
                      <w:sz w:val="20"/>
                      <w:szCs w:val="20"/>
                    </w:rPr>
                    <w:t>After 3 years</w:t>
                  </w:r>
                </w:p>
              </w:tc>
              <w:tc>
                <w:tcPr>
                  <w:tcW w:w="2030" w:type="dxa"/>
                  <w:tcBorders>
                    <w:top w:val="single" w:sz="4" w:space="0" w:color="auto"/>
                    <w:left w:val="single" w:sz="4" w:space="0" w:color="auto"/>
                    <w:bottom w:val="single" w:sz="4" w:space="0" w:color="auto"/>
                    <w:right w:val="single" w:sz="4" w:space="0" w:color="auto"/>
                  </w:tcBorders>
                  <w:hideMark/>
                </w:tcPr>
                <w:p w14:paraId="7E1C5D81" w14:textId="77777777" w:rsidR="00CD50BF" w:rsidRDefault="00CD50BF" w:rsidP="00A95B0D">
                  <w:pPr>
                    <w:rPr>
                      <w:rFonts w:ascii="Arial" w:hAnsi="Arial" w:cs="Arial"/>
                      <w:sz w:val="20"/>
                      <w:szCs w:val="20"/>
                    </w:rPr>
                  </w:pPr>
                  <w:r>
                    <w:rPr>
                      <w:rFonts w:ascii="Arial" w:hAnsi="Arial" w:cs="Arial"/>
                      <w:sz w:val="20"/>
                      <w:szCs w:val="20"/>
                    </w:rPr>
                    <w:t>Gold 1 and 2</w:t>
                  </w:r>
                </w:p>
                <w:p w14:paraId="213C1321" w14:textId="77777777" w:rsidR="00CD50BF" w:rsidRPr="00DC7859" w:rsidRDefault="00CD50BF" w:rsidP="00A95B0D">
                  <w:pPr>
                    <w:rPr>
                      <w:rFonts w:ascii="Arial" w:hAnsi="Arial" w:cs="Arial"/>
                      <w:sz w:val="20"/>
                      <w:szCs w:val="20"/>
                    </w:rPr>
                  </w:pPr>
                  <w:r>
                    <w:rPr>
                      <w:rFonts w:ascii="Arial" w:hAnsi="Arial" w:cs="Arial"/>
                      <w:sz w:val="20"/>
                      <w:szCs w:val="20"/>
                    </w:rPr>
                    <w:t>Silver 1 and 2</w:t>
                  </w:r>
                  <w:r w:rsidRPr="00DC7859">
                    <w:rPr>
                      <w:rFonts w:ascii="Arial" w:hAnsi="Arial" w:cs="Arial"/>
                      <w:sz w:val="20"/>
                      <w:szCs w:val="20"/>
                    </w:rPr>
                    <w:t xml:space="preserve">: </w:t>
                  </w:r>
                </w:p>
                <w:p w14:paraId="18B696CF" w14:textId="77777777" w:rsidR="00CD50BF" w:rsidRPr="00DC7859" w:rsidRDefault="00CD50BF" w:rsidP="00A95B0D">
                  <w:pPr>
                    <w:rPr>
                      <w:rFonts w:ascii="Arial" w:hAnsi="Arial" w:cs="Arial"/>
                      <w:sz w:val="20"/>
                      <w:szCs w:val="20"/>
                    </w:rPr>
                  </w:pPr>
                  <w:r w:rsidRPr="00DC7859">
                    <w:rPr>
                      <w:rFonts w:ascii="Arial" w:hAnsi="Arial" w:cs="Arial"/>
                      <w:sz w:val="20"/>
                      <w:szCs w:val="20"/>
                    </w:rPr>
                    <w:t>Level 2b</w:t>
                  </w:r>
                </w:p>
              </w:tc>
              <w:tc>
                <w:tcPr>
                  <w:tcW w:w="2052" w:type="dxa"/>
                  <w:tcBorders>
                    <w:top w:val="single" w:sz="4" w:space="0" w:color="auto"/>
                    <w:left w:val="single" w:sz="4" w:space="0" w:color="auto"/>
                    <w:bottom w:val="single" w:sz="4" w:space="0" w:color="auto"/>
                    <w:right w:val="single" w:sz="4" w:space="0" w:color="auto"/>
                  </w:tcBorders>
                  <w:hideMark/>
                </w:tcPr>
                <w:p w14:paraId="2FC4310F"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2b</w:t>
                  </w:r>
                </w:p>
              </w:tc>
              <w:tc>
                <w:tcPr>
                  <w:tcW w:w="1905" w:type="dxa"/>
                  <w:tcBorders>
                    <w:top w:val="single" w:sz="4" w:space="0" w:color="auto"/>
                    <w:left w:val="single" w:sz="4" w:space="0" w:color="auto"/>
                    <w:bottom w:val="single" w:sz="4" w:space="0" w:color="auto"/>
                    <w:right w:val="single" w:sz="4" w:space="0" w:color="auto"/>
                  </w:tcBorders>
                  <w:hideMark/>
                </w:tcPr>
                <w:p w14:paraId="149AC639" w14:textId="77777777" w:rsidR="00CD50BF" w:rsidRPr="00DC7859" w:rsidRDefault="00CD50BF" w:rsidP="00A95B0D">
                  <w:pPr>
                    <w:rPr>
                      <w:rFonts w:ascii="Arial" w:hAnsi="Arial" w:cs="Arial"/>
                      <w:sz w:val="20"/>
                      <w:szCs w:val="20"/>
                    </w:rPr>
                  </w:pPr>
                  <w:r w:rsidRPr="00DC7859">
                    <w:rPr>
                      <w:rFonts w:ascii="Arial" w:hAnsi="Arial" w:cs="Arial"/>
                      <w:sz w:val="20"/>
                      <w:szCs w:val="20"/>
                    </w:rPr>
                    <w:t>Beginning/Mid stage 5</w:t>
                  </w:r>
                </w:p>
              </w:tc>
              <w:tc>
                <w:tcPr>
                  <w:tcW w:w="2852" w:type="dxa"/>
                  <w:tcBorders>
                    <w:top w:val="single" w:sz="4" w:space="0" w:color="auto"/>
                    <w:left w:val="single" w:sz="4" w:space="0" w:color="auto"/>
                    <w:bottom w:val="single" w:sz="4" w:space="0" w:color="auto"/>
                    <w:right w:val="single" w:sz="4" w:space="0" w:color="auto"/>
                  </w:tcBorders>
                  <w:hideMark/>
                </w:tcPr>
                <w:p w14:paraId="10B32DE9"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2b</w:t>
                  </w:r>
                </w:p>
              </w:tc>
            </w:tr>
            <w:tr w:rsidR="00CD50BF" w:rsidRPr="00DC7859" w14:paraId="6030B75D"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04857444" w14:textId="77777777" w:rsidR="00CD50BF" w:rsidRPr="00DC7859" w:rsidRDefault="00CD50BF" w:rsidP="00A95B0D">
                  <w:pPr>
                    <w:rPr>
                      <w:rFonts w:ascii="Arial" w:hAnsi="Arial" w:cs="Arial"/>
                      <w:b/>
                      <w:sz w:val="20"/>
                      <w:szCs w:val="20"/>
                    </w:rPr>
                  </w:pPr>
                  <w:r w:rsidRPr="00DC7859">
                    <w:rPr>
                      <w:rFonts w:ascii="Arial" w:hAnsi="Arial" w:cs="Arial"/>
                      <w:b/>
                      <w:sz w:val="20"/>
                      <w:szCs w:val="20"/>
                    </w:rPr>
                    <w:t>Year 4</w:t>
                  </w:r>
                </w:p>
              </w:tc>
              <w:tc>
                <w:tcPr>
                  <w:tcW w:w="2030" w:type="dxa"/>
                  <w:tcBorders>
                    <w:top w:val="single" w:sz="4" w:space="0" w:color="auto"/>
                    <w:left w:val="single" w:sz="4" w:space="0" w:color="auto"/>
                    <w:bottom w:val="single" w:sz="4" w:space="0" w:color="auto"/>
                    <w:right w:val="single" w:sz="4" w:space="0" w:color="auto"/>
                  </w:tcBorders>
                  <w:hideMark/>
                </w:tcPr>
                <w:p w14:paraId="0ECA052F"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2p/2a</w:t>
                  </w:r>
                </w:p>
              </w:tc>
              <w:tc>
                <w:tcPr>
                  <w:tcW w:w="2052" w:type="dxa"/>
                  <w:tcBorders>
                    <w:top w:val="single" w:sz="4" w:space="0" w:color="auto"/>
                    <w:left w:val="single" w:sz="4" w:space="0" w:color="auto"/>
                    <w:bottom w:val="single" w:sz="4" w:space="0" w:color="auto"/>
                    <w:right w:val="single" w:sz="4" w:space="0" w:color="auto"/>
                  </w:tcBorders>
                  <w:hideMark/>
                </w:tcPr>
                <w:p w14:paraId="7735A38E"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2p/2a</w:t>
                  </w:r>
                </w:p>
              </w:tc>
              <w:tc>
                <w:tcPr>
                  <w:tcW w:w="1905" w:type="dxa"/>
                  <w:tcBorders>
                    <w:top w:val="single" w:sz="4" w:space="0" w:color="auto"/>
                    <w:left w:val="single" w:sz="4" w:space="0" w:color="auto"/>
                    <w:bottom w:val="single" w:sz="4" w:space="0" w:color="auto"/>
                    <w:right w:val="single" w:sz="4" w:space="0" w:color="auto"/>
                  </w:tcBorders>
                  <w:hideMark/>
                </w:tcPr>
                <w:p w14:paraId="5FD0635D" w14:textId="77777777" w:rsidR="00CD50BF" w:rsidRPr="00DC7859" w:rsidRDefault="00CD50BF" w:rsidP="00A95B0D">
                  <w:pPr>
                    <w:rPr>
                      <w:rFonts w:ascii="Arial" w:hAnsi="Arial" w:cs="Arial"/>
                      <w:sz w:val="20"/>
                      <w:szCs w:val="20"/>
                    </w:rPr>
                  </w:pPr>
                  <w:r w:rsidRPr="00DC7859">
                    <w:rPr>
                      <w:rFonts w:ascii="Arial" w:hAnsi="Arial" w:cs="Arial"/>
                      <w:sz w:val="20"/>
                      <w:szCs w:val="20"/>
                    </w:rPr>
                    <w:t xml:space="preserve">Mid/ End stage 5 </w:t>
                  </w:r>
                </w:p>
              </w:tc>
              <w:tc>
                <w:tcPr>
                  <w:tcW w:w="2852" w:type="dxa"/>
                  <w:tcBorders>
                    <w:top w:val="single" w:sz="4" w:space="0" w:color="auto"/>
                    <w:left w:val="single" w:sz="4" w:space="0" w:color="auto"/>
                    <w:bottom w:val="single" w:sz="4" w:space="0" w:color="auto"/>
                    <w:right w:val="single" w:sz="4" w:space="0" w:color="auto"/>
                  </w:tcBorders>
                  <w:hideMark/>
                </w:tcPr>
                <w:p w14:paraId="5880CC76"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2p/2a</w:t>
                  </w:r>
                </w:p>
              </w:tc>
            </w:tr>
            <w:tr w:rsidR="00CD50BF" w:rsidRPr="00DC7859" w14:paraId="09E47E47"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47F74539" w14:textId="77777777" w:rsidR="00CD50BF" w:rsidRPr="00DC7859" w:rsidRDefault="00CD50BF" w:rsidP="00A95B0D">
                  <w:pPr>
                    <w:rPr>
                      <w:rFonts w:ascii="Arial" w:hAnsi="Arial" w:cs="Arial"/>
                      <w:b/>
                      <w:sz w:val="20"/>
                      <w:szCs w:val="20"/>
                    </w:rPr>
                  </w:pPr>
                  <w:r w:rsidRPr="00DC7859">
                    <w:rPr>
                      <w:rFonts w:ascii="Arial" w:hAnsi="Arial" w:cs="Arial"/>
                      <w:b/>
                      <w:sz w:val="20"/>
                      <w:szCs w:val="20"/>
                    </w:rPr>
                    <w:t>Year 5</w:t>
                  </w:r>
                </w:p>
              </w:tc>
              <w:tc>
                <w:tcPr>
                  <w:tcW w:w="2030" w:type="dxa"/>
                  <w:tcBorders>
                    <w:top w:val="single" w:sz="4" w:space="0" w:color="auto"/>
                    <w:left w:val="single" w:sz="4" w:space="0" w:color="auto"/>
                    <w:bottom w:val="single" w:sz="4" w:space="0" w:color="auto"/>
                    <w:right w:val="single" w:sz="4" w:space="0" w:color="auto"/>
                  </w:tcBorders>
                  <w:hideMark/>
                </w:tcPr>
                <w:p w14:paraId="74277EC2"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3b</w:t>
                  </w:r>
                </w:p>
              </w:tc>
              <w:tc>
                <w:tcPr>
                  <w:tcW w:w="2052" w:type="dxa"/>
                  <w:tcBorders>
                    <w:top w:val="single" w:sz="4" w:space="0" w:color="auto"/>
                    <w:left w:val="single" w:sz="4" w:space="0" w:color="auto"/>
                    <w:bottom w:val="single" w:sz="4" w:space="0" w:color="auto"/>
                    <w:right w:val="single" w:sz="4" w:space="0" w:color="auto"/>
                  </w:tcBorders>
                  <w:hideMark/>
                </w:tcPr>
                <w:p w14:paraId="2A36DDA0"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3b</w:t>
                  </w:r>
                </w:p>
              </w:tc>
              <w:tc>
                <w:tcPr>
                  <w:tcW w:w="1905" w:type="dxa"/>
                  <w:tcBorders>
                    <w:top w:val="single" w:sz="4" w:space="0" w:color="auto"/>
                    <w:left w:val="single" w:sz="4" w:space="0" w:color="auto"/>
                    <w:bottom w:val="single" w:sz="4" w:space="0" w:color="auto"/>
                    <w:right w:val="single" w:sz="4" w:space="0" w:color="auto"/>
                  </w:tcBorders>
                  <w:hideMark/>
                </w:tcPr>
                <w:p w14:paraId="15E1146D" w14:textId="77777777" w:rsidR="00CD50BF" w:rsidRPr="00DC7859" w:rsidRDefault="00CD50BF" w:rsidP="00A95B0D">
                  <w:pPr>
                    <w:rPr>
                      <w:rFonts w:ascii="Arial" w:hAnsi="Arial" w:cs="Arial"/>
                      <w:sz w:val="20"/>
                      <w:szCs w:val="20"/>
                    </w:rPr>
                  </w:pPr>
                  <w:r>
                    <w:rPr>
                      <w:rFonts w:ascii="Arial" w:hAnsi="Arial" w:cs="Arial"/>
                      <w:sz w:val="20"/>
                      <w:szCs w:val="20"/>
                    </w:rPr>
                    <w:t>Begin</w:t>
                  </w:r>
                  <w:r w:rsidRPr="00DC7859">
                    <w:rPr>
                      <w:rFonts w:ascii="Arial" w:hAnsi="Arial" w:cs="Arial"/>
                      <w:sz w:val="20"/>
                      <w:szCs w:val="20"/>
                    </w:rPr>
                    <w:t xml:space="preserve"> </w:t>
                  </w:r>
                  <w:r>
                    <w:rPr>
                      <w:rFonts w:ascii="Arial" w:hAnsi="Arial" w:cs="Arial"/>
                      <w:sz w:val="20"/>
                      <w:szCs w:val="20"/>
                    </w:rPr>
                    <w:t xml:space="preserve">/ mid </w:t>
                  </w:r>
                  <w:r w:rsidRPr="00DC7859">
                    <w:rPr>
                      <w:rFonts w:ascii="Arial" w:hAnsi="Arial" w:cs="Arial"/>
                      <w:sz w:val="20"/>
                      <w:szCs w:val="20"/>
                    </w:rPr>
                    <w:t>stage 6</w:t>
                  </w:r>
                </w:p>
              </w:tc>
              <w:tc>
                <w:tcPr>
                  <w:tcW w:w="2852" w:type="dxa"/>
                  <w:tcBorders>
                    <w:top w:val="single" w:sz="4" w:space="0" w:color="auto"/>
                    <w:left w:val="single" w:sz="4" w:space="0" w:color="auto"/>
                    <w:bottom w:val="single" w:sz="4" w:space="0" w:color="auto"/>
                    <w:right w:val="single" w:sz="4" w:space="0" w:color="auto"/>
                  </w:tcBorders>
                  <w:hideMark/>
                </w:tcPr>
                <w:p w14:paraId="76D95024"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3b</w:t>
                  </w:r>
                </w:p>
              </w:tc>
            </w:tr>
            <w:tr w:rsidR="00CD50BF" w:rsidRPr="00DC7859" w14:paraId="0AF551B9"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1DCD0D63" w14:textId="77777777" w:rsidR="00CD50BF" w:rsidRPr="00DC7859" w:rsidRDefault="00CD50BF" w:rsidP="00A95B0D">
                  <w:pPr>
                    <w:rPr>
                      <w:rFonts w:ascii="Arial" w:hAnsi="Arial" w:cs="Arial"/>
                      <w:b/>
                      <w:sz w:val="20"/>
                      <w:szCs w:val="20"/>
                    </w:rPr>
                  </w:pPr>
                  <w:r w:rsidRPr="00DC7859">
                    <w:rPr>
                      <w:rFonts w:ascii="Arial" w:hAnsi="Arial" w:cs="Arial"/>
                      <w:b/>
                      <w:sz w:val="20"/>
                      <w:szCs w:val="20"/>
                    </w:rPr>
                    <w:t>Year 6</w:t>
                  </w:r>
                </w:p>
              </w:tc>
              <w:tc>
                <w:tcPr>
                  <w:tcW w:w="2030" w:type="dxa"/>
                  <w:tcBorders>
                    <w:top w:val="single" w:sz="4" w:space="0" w:color="auto"/>
                    <w:left w:val="single" w:sz="4" w:space="0" w:color="auto"/>
                    <w:bottom w:val="single" w:sz="4" w:space="0" w:color="auto"/>
                    <w:right w:val="single" w:sz="4" w:space="0" w:color="auto"/>
                  </w:tcBorders>
                  <w:hideMark/>
                </w:tcPr>
                <w:p w14:paraId="5E874D27"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3p/3a</w:t>
                  </w:r>
                </w:p>
              </w:tc>
              <w:tc>
                <w:tcPr>
                  <w:tcW w:w="2052" w:type="dxa"/>
                  <w:tcBorders>
                    <w:top w:val="single" w:sz="4" w:space="0" w:color="auto"/>
                    <w:left w:val="single" w:sz="4" w:space="0" w:color="auto"/>
                    <w:bottom w:val="single" w:sz="4" w:space="0" w:color="auto"/>
                    <w:right w:val="single" w:sz="4" w:space="0" w:color="auto"/>
                  </w:tcBorders>
                  <w:hideMark/>
                </w:tcPr>
                <w:p w14:paraId="07A7C83C"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3p/3a</w:t>
                  </w:r>
                </w:p>
              </w:tc>
              <w:tc>
                <w:tcPr>
                  <w:tcW w:w="1905" w:type="dxa"/>
                  <w:tcBorders>
                    <w:top w:val="single" w:sz="4" w:space="0" w:color="auto"/>
                    <w:left w:val="single" w:sz="4" w:space="0" w:color="auto"/>
                    <w:bottom w:val="single" w:sz="4" w:space="0" w:color="auto"/>
                    <w:right w:val="single" w:sz="4" w:space="0" w:color="auto"/>
                  </w:tcBorders>
                  <w:hideMark/>
                </w:tcPr>
                <w:p w14:paraId="4AB94AF6" w14:textId="77777777" w:rsidR="00CD50BF" w:rsidRPr="00DC7859" w:rsidRDefault="00CD50BF" w:rsidP="00A95B0D">
                  <w:pPr>
                    <w:rPr>
                      <w:rFonts w:ascii="Arial" w:hAnsi="Arial" w:cs="Arial"/>
                      <w:sz w:val="20"/>
                      <w:szCs w:val="20"/>
                    </w:rPr>
                  </w:pPr>
                  <w:r>
                    <w:rPr>
                      <w:rFonts w:ascii="Arial" w:hAnsi="Arial" w:cs="Arial"/>
                      <w:sz w:val="20"/>
                      <w:szCs w:val="20"/>
                    </w:rPr>
                    <w:t xml:space="preserve">Mid/ </w:t>
                  </w:r>
                  <w:r w:rsidRPr="00DC7859">
                    <w:rPr>
                      <w:rFonts w:ascii="Arial" w:hAnsi="Arial" w:cs="Arial"/>
                      <w:sz w:val="20"/>
                      <w:szCs w:val="20"/>
                    </w:rPr>
                    <w:t>End of stage 6</w:t>
                  </w:r>
                </w:p>
              </w:tc>
              <w:tc>
                <w:tcPr>
                  <w:tcW w:w="2852" w:type="dxa"/>
                  <w:tcBorders>
                    <w:top w:val="single" w:sz="4" w:space="0" w:color="auto"/>
                    <w:left w:val="single" w:sz="4" w:space="0" w:color="auto"/>
                    <w:bottom w:val="single" w:sz="4" w:space="0" w:color="auto"/>
                    <w:right w:val="single" w:sz="4" w:space="0" w:color="auto"/>
                  </w:tcBorders>
                  <w:hideMark/>
                </w:tcPr>
                <w:p w14:paraId="417D9CCE"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3a</w:t>
                  </w:r>
                </w:p>
              </w:tc>
            </w:tr>
            <w:tr w:rsidR="00CD50BF" w:rsidRPr="00DC7859" w14:paraId="5AC4F112"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004CD33E" w14:textId="77777777" w:rsidR="00CD50BF" w:rsidRPr="00DC7859" w:rsidRDefault="00CD50BF" w:rsidP="00A95B0D">
                  <w:pPr>
                    <w:rPr>
                      <w:rFonts w:ascii="Arial" w:hAnsi="Arial" w:cs="Arial"/>
                      <w:b/>
                      <w:sz w:val="20"/>
                      <w:szCs w:val="20"/>
                    </w:rPr>
                  </w:pPr>
                  <w:r w:rsidRPr="00DC7859">
                    <w:rPr>
                      <w:rFonts w:ascii="Arial" w:hAnsi="Arial" w:cs="Arial"/>
                      <w:b/>
                      <w:sz w:val="20"/>
                      <w:szCs w:val="20"/>
                    </w:rPr>
                    <w:t>Year 7</w:t>
                  </w:r>
                </w:p>
              </w:tc>
              <w:tc>
                <w:tcPr>
                  <w:tcW w:w="2030" w:type="dxa"/>
                  <w:tcBorders>
                    <w:top w:val="single" w:sz="4" w:space="0" w:color="auto"/>
                    <w:left w:val="single" w:sz="4" w:space="0" w:color="auto"/>
                    <w:bottom w:val="single" w:sz="4" w:space="0" w:color="auto"/>
                    <w:right w:val="single" w:sz="4" w:space="0" w:color="auto"/>
                  </w:tcBorders>
                  <w:hideMark/>
                </w:tcPr>
                <w:p w14:paraId="1E50AB5F"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4b</w:t>
                  </w:r>
                </w:p>
              </w:tc>
              <w:tc>
                <w:tcPr>
                  <w:tcW w:w="2052" w:type="dxa"/>
                  <w:tcBorders>
                    <w:top w:val="single" w:sz="4" w:space="0" w:color="auto"/>
                    <w:left w:val="single" w:sz="4" w:space="0" w:color="auto"/>
                    <w:bottom w:val="single" w:sz="4" w:space="0" w:color="auto"/>
                    <w:right w:val="single" w:sz="4" w:space="0" w:color="auto"/>
                  </w:tcBorders>
                  <w:hideMark/>
                </w:tcPr>
                <w:p w14:paraId="17CB17AF"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4b</w:t>
                  </w:r>
                </w:p>
              </w:tc>
              <w:tc>
                <w:tcPr>
                  <w:tcW w:w="1905" w:type="dxa"/>
                  <w:tcBorders>
                    <w:top w:val="single" w:sz="4" w:space="0" w:color="auto"/>
                    <w:left w:val="single" w:sz="4" w:space="0" w:color="auto"/>
                    <w:bottom w:val="single" w:sz="4" w:space="0" w:color="auto"/>
                    <w:right w:val="single" w:sz="4" w:space="0" w:color="auto"/>
                  </w:tcBorders>
                  <w:hideMark/>
                </w:tcPr>
                <w:p w14:paraId="655850F7" w14:textId="77777777" w:rsidR="00CD50BF" w:rsidRPr="00DC7859" w:rsidRDefault="00CD50BF" w:rsidP="00A95B0D">
                  <w:pPr>
                    <w:rPr>
                      <w:rFonts w:ascii="Arial" w:hAnsi="Arial" w:cs="Arial"/>
                      <w:sz w:val="20"/>
                      <w:szCs w:val="20"/>
                    </w:rPr>
                  </w:pPr>
                  <w:r>
                    <w:rPr>
                      <w:rFonts w:ascii="Arial" w:hAnsi="Arial" w:cs="Arial"/>
                      <w:sz w:val="20"/>
                      <w:szCs w:val="20"/>
                    </w:rPr>
                    <w:t xml:space="preserve">Beg/ </w:t>
                  </w:r>
                  <w:r w:rsidRPr="00DC7859">
                    <w:rPr>
                      <w:rFonts w:ascii="Arial" w:hAnsi="Arial" w:cs="Arial"/>
                      <w:sz w:val="20"/>
                      <w:szCs w:val="20"/>
                    </w:rPr>
                    <w:t>Mid stage 7</w:t>
                  </w:r>
                </w:p>
              </w:tc>
              <w:tc>
                <w:tcPr>
                  <w:tcW w:w="2852" w:type="dxa"/>
                  <w:tcBorders>
                    <w:top w:val="single" w:sz="4" w:space="0" w:color="auto"/>
                    <w:left w:val="single" w:sz="4" w:space="0" w:color="auto"/>
                    <w:bottom w:val="single" w:sz="4" w:space="0" w:color="auto"/>
                    <w:right w:val="single" w:sz="4" w:space="0" w:color="auto"/>
                  </w:tcBorders>
                  <w:hideMark/>
                </w:tcPr>
                <w:p w14:paraId="0826FD02"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4b</w:t>
                  </w:r>
                </w:p>
              </w:tc>
            </w:tr>
            <w:tr w:rsidR="00CD50BF" w:rsidRPr="00DC7859" w14:paraId="1A0EDE8B" w14:textId="77777777" w:rsidTr="00A95B0D">
              <w:tc>
                <w:tcPr>
                  <w:tcW w:w="1963" w:type="dxa"/>
                  <w:tcBorders>
                    <w:top w:val="single" w:sz="4" w:space="0" w:color="auto"/>
                    <w:left w:val="single" w:sz="4" w:space="0" w:color="auto"/>
                    <w:bottom w:val="single" w:sz="4" w:space="0" w:color="auto"/>
                    <w:right w:val="single" w:sz="4" w:space="0" w:color="auto"/>
                  </w:tcBorders>
                  <w:hideMark/>
                </w:tcPr>
                <w:p w14:paraId="506113FC" w14:textId="77777777" w:rsidR="00CD50BF" w:rsidRPr="00DC7859" w:rsidRDefault="00CD50BF" w:rsidP="00A95B0D">
                  <w:pPr>
                    <w:rPr>
                      <w:rFonts w:ascii="Arial" w:hAnsi="Arial" w:cs="Arial"/>
                      <w:b/>
                      <w:sz w:val="20"/>
                      <w:szCs w:val="20"/>
                    </w:rPr>
                  </w:pPr>
                  <w:r w:rsidRPr="00DC7859">
                    <w:rPr>
                      <w:rFonts w:ascii="Arial" w:hAnsi="Arial" w:cs="Arial"/>
                      <w:b/>
                      <w:sz w:val="20"/>
                      <w:szCs w:val="20"/>
                    </w:rPr>
                    <w:t>Year 8</w:t>
                  </w:r>
                </w:p>
              </w:tc>
              <w:tc>
                <w:tcPr>
                  <w:tcW w:w="2030" w:type="dxa"/>
                  <w:tcBorders>
                    <w:top w:val="single" w:sz="4" w:space="0" w:color="auto"/>
                    <w:left w:val="single" w:sz="4" w:space="0" w:color="auto"/>
                    <w:bottom w:val="single" w:sz="4" w:space="0" w:color="auto"/>
                    <w:right w:val="single" w:sz="4" w:space="0" w:color="auto"/>
                  </w:tcBorders>
                  <w:hideMark/>
                </w:tcPr>
                <w:p w14:paraId="37487939"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4p/4a</w:t>
                  </w:r>
                </w:p>
              </w:tc>
              <w:tc>
                <w:tcPr>
                  <w:tcW w:w="2052" w:type="dxa"/>
                  <w:tcBorders>
                    <w:top w:val="single" w:sz="4" w:space="0" w:color="auto"/>
                    <w:left w:val="single" w:sz="4" w:space="0" w:color="auto"/>
                    <w:bottom w:val="single" w:sz="4" w:space="0" w:color="auto"/>
                    <w:right w:val="single" w:sz="4" w:space="0" w:color="auto"/>
                  </w:tcBorders>
                  <w:hideMark/>
                </w:tcPr>
                <w:p w14:paraId="725F4EE7" w14:textId="77777777" w:rsidR="00CD50BF" w:rsidRPr="00DC7859" w:rsidRDefault="00CD50BF" w:rsidP="00A95B0D">
                  <w:pPr>
                    <w:rPr>
                      <w:rFonts w:ascii="Arial" w:hAnsi="Arial" w:cs="Arial"/>
                      <w:sz w:val="20"/>
                      <w:szCs w:val="20"/>
                    </w:rPr>
                  </w:pPr>
                  <w:r w:rsidRPr="00DC7859">
                    <w:rPr>
                      <w:rFonts w:ascii="Arial" w:hAnsi="Arial" w:cs="Arial"/>
                      <w:sz w:val="20"/>
                      <w:szCs w:val="20"/>
                    </w:rPr>
                    <w:t>The equivalent of NZC Level 4p/4a</w:t>
                  </w:r>
                </w:p>
              </w:tc>
              <w:tc>
                <w:tcPr>
                  <w:tcW w:w="1905" w:type="dxa"/>
                  <w:tcBorders>
                    <w:top w:val="single" w:sz="4" w:space="0" w:color="auto"/>
                    <w:left w:val="single" w:sz="4" w:space="0" w:color="auto"/>
                    <w:bottom w:val="single" w:sz="4" w:space="0" w:color="auto"/>
                    <w:right w:val="single" w:sz="4" w:space="0" w:color="auto"/>
                  </w:tcBorders>
                  <w:hideMark/>
                </w:tcPr>
                <w:p w14:paraId="4D62F3E5" w14:textId="77777777" w:rsidR="00CD50BF" w:rsidRPr="00DC7859" w:rsidRDefault="00CD50BF" w:rsidP="00A95B0D">
                  <w:pPr>
                    <w:rPr>
                      <w:rFonts w:ascii="Arial" w:hAnsi="Arial" w:cs="Arial"/>
                      <w:sz w:val="20"/>
                      <w:szCs w:val="20"/>
                    </w:rPr>
                  </w:pPr>
                  <w:r w:rsidRPr="00DC7859">
                    <w:rPr>
                      <w:rFonts w:ascii="Arial" w:hAnsi="Arial" w:cs="Arial"/>
                      <w:sz w:val="20"/>
                      <w:szCs w:val="20"/>
                    </w:rPr>
                    <w:t xml:space="preserve">End of stage 7 </w:t>
                  </w:r>
                </w:p>
              </w:tc>
              <w:tc>
                <w:tcPr>
                  <w:tcW w:w="2852" w:type="dxa"/>
                  <w:tcBorders>
                    <w:top w:val="single" w:sz="4" w:space="0" w:color="auto"/>
                    <w:left w:val="single" w:sz="4" w:space="0" w:color="auto"/>
                    <w:bottom w:val="single" w:sz="4" w:space="0" w:color="auto"/>
                    <w:right w:val="single" w:sz="4" w:space="0" w:color="auto"/>
                  </w:tcBorders>
                  <w:hideMark/>
                </w:tcPr>
                <w:p w14:paraId="68337B52" w14:textId="77777777" w:rsidR="00CD50BF" w:rsidRPr="00DC7859" w:rsidRDefault="00CD50BF" w:rsidP="00A95B0D">
                  <w:pPr>
                    <w:rPr>
                      <w:rFonts w:ascii="Arial" w:hAnsi="Arial" w:cs="Arial"/>
                      <w:sz w:val="20"/>
                      <w:szCs w:val="20"/>
                    </w:rPr>
                  </w:pPr>
                  <w:r w:rsidRPr="00DC7859">
                    <w:rPr>
                      <w:rFonts w:ascii="Arial" w:hAnsi="Arial" w:cs="Arial"/>
                      <w:sz w:val="20"/>
                      <w:szCs w:val="20"/>
                    </w:rPr>
                    <w:t>Curriculum Level 4p/4a</w:t>
                  </w:r>
                </w:p>
              </w:tc>
            </w:tr>
          </w:tbl>
          <w:p w14:paraId="477C4799" w14:textId="77777777" w:rsidR="00CD50BF" w:rsidRDefault="00CD50BF" w:rsidP="00A95B0D">
            <w:pPr>
              <w:pStyle w:val="ListParagraph"/>
              <w:ind w:left="0"/>
              <w:rPr>
                <w:rFonts w:ascii="Arial" w:hAnsi="Arial" w:cs="Arial"/>
                <w:b/>
              </w:rPr>
            </w:pPr>
          </w:p>
          <w:p w14:paraId="05D38EE7" w14:textId="77777777" w:rsidR="00CD50BF" w:rsidRDefault="00CD50BF" w:rsidP="00A95B0D">
            <w:pPr>
              <w:pStyle w:val="ListParagraph"/>
              <w:ind w:left="0"/>
              <w:rPr>
                <w:rFonts w:ascii="Arial" w:hAnsi="Arial" w:cs="Arial"/>
                <w:b/>
              </w:rPr>
            </w:pPr>
            <w:r>
              <w:rPr>
                <w:rFonts w:ascii="Arial" w:hAnsi="Arial" w:cs="Arial"/>
                <w:b/>
              </w:rPr>
              <w:t>National Standards at Cashmere Primary School are referenced by OTJ’s from multi source data including</w:t>
            </w:r>
            <w:r>
              <w:rPr>
                <w:rFonts w:ascii="Arial" w:hAnsi="Arial" w:cs="Arial"/>
                <w:b/>
              </w:rPr>
              <w:tab/>
            </w:r>
            <w:r>
              <w:rPr>
                <w:rFonts w:ascii="Arial" w:hAnsi="Arial" w:cs="Arial"/>
                <w:b/>
              </w:rPr>
              <w:tab/>
            </w:r>
          </w:p>
          <w:p w14:paraId="201DF0FD" w14:textId="77777777" w:rsidR="00CD50BF" w:rsidRPr="00DC7859" w:rsidRDefault="00CD50BF" w:rsidP="00A95B0D">
            <w:pPr>
              <w:numPr>
                <w:ilvl w:val="0"/>
                <w:numId w:val="3"/>
              </w:numPr>
              <w:spacing w:after="0"/>
              <w:rPr>
                <w:rFonts w:ascii="Arial" w:hAnsi="Arial" w:cs="Arial"/>
                <w:sz w:val="20"/>
                <w:szCs w:val="20"/>
              </w:rPr>
            </w:pPr>
            <w:r w:rsidRPr="00DC7859">
              <w:rPr>
                <w:rFonts w:ascii="Arial" w:hAnsi="Arial" w:cs="Arial"/>
                <w:sz w:val="20"/>
                <w:szCs w:val="20"/>
              </w:rPr>
              <w:t xml:space="preserve">Student work samples                                </w:t>
            </w:r>
          </w:p>
          <w:p w14:paraId="37B2CECF" w14:textId="77777777" w:rsidR="00CD50BF" w:rsidRPr="00DC7859" w:rsidRDefault="00CD50BF" w:rsidP="00A95B0D">
            <w:pPr>
              <w:numPr>
                <w:ilvl w:val="0"/>
                <w:numId w:val="3"/>
              </w:numPr>
              <w:spacing w:after="0"/>
              <w:rPr>
                <w:rFonts w:ascii="Arial" w:hAnsi="Arial" w:cs="Arial"/>
                <w:sz w:val="20"/>
                <w:szCs w:val="20"/>
              </w:rPr>
            </w:pPr>
            <w:r w:rsidRPr="00DC7859">
              <w:rPr>
                <w:rFonts w:ascii="Arial" w:hAnsi="Arial" w:cs="Arial"/>
                <w:sz w:val="20"/>
                <w:szCs w:val="20"/>
              </w:rPr>
              <w:t xml:space="preserve">CPS teacher co-constructed </w:t>
            </w:r>
            <w:r w:rsidRPr="00DC7859">
              <w:rPr>
                <w:rFonts w:ascii="Arial" w:hAnsi="Arial" w:cs="Arial"/>
                <w:i/>
                <w:sz w:val="20"/>
                <w:szCs w:val="20"/>
              </w:rPr>
              <w:t>learning progressions</w:t>
            </w:r>
            <w:r w:rsidRPr="00DC7859">
              <w:rPr>
                <w:rFonts w:ascii="Arial" w:hAnsi="Arial" w:cs="Arial"/>
                <w:sz w:val="20"/>
                <w:szCs w:val="20"/>
              </w:rPr>
              <w:t xml:space="preserve"> based on NZC</w:t>
            </w:r>
          </w:p>
          <w:p w14:paraId="61B4BE2E" w14:textId="77777777" w:rsidR="00CD50BF" w:rsidRPr="00DC7859" w:rsidRDefault="00CD50BF" w:rsidP="00A95B0D">
            <w:pPr>
              <w:numPr>
                <w:ilvl w:val="0"/>
                <w:numId w:val="3"/>
              </w:numPr>
              <w:spacing w:after="0"/>
              <w:rPr>
                <w:rFonts w:ascii="Arial" w:hAnsi="Arial" w:cs="Arial"/>
                <w:sz w:val="20"/>
                <w:szCs w:val="20"/>
              </w:rPr>
            </w:pPr>
            <w:r w:rsidRPr="00DC7859">
              <w:rPr>
                <w:rFonts w:ascii="Arial" w:hAnsi="Arial" w:cs="Arial"/>
                <w:sz w:val="20"/>
                <w:szCs w:val="20"/>
              </w:rPr>
              <w:t>Evidence of student learning which is observable in a learning context including teacher observations and conferences</w:t>
            </w:r>
          </w:p>
          <w:p w14:paraId="6DF0C286" w14:textId="77777777" w:rsidR="00CD50BF" w:rsidRPr="00DC7859" w:rsidRDefault="00CD50BF" w:rsidP="00A95B0D">
            <w:pPr>
              <w:numPr>
                <w:ilvl w:val="0"/>
                <w:numId w:val="3"/>
              </w:numPr>
              <w:spacing w:after="0"/>
              <w:rPr>
                <w:rFonts w:ascii="Arial" w:hAnsi="Arial" w:cs="Arial"/>
                <w:sz w:val="20"/>
                <w:szCs w:val="20"/>
              </w:rPr>
            </w:pPr>
            <w:r w:rsidRPr="00DC7859">
              <w:rPr>
                <w:rFonts w:ascii="Arial" w:hAnsi="Arial" w:cs="Arial"/>
                <w:sz w:val="20"/>
                <w:szCs w:val="20"/>
              </w:rPr>
              <w:t xml:space="preserve">Knowledge of the learner through student and whanau voice.                                             </w:t>
            </w:r>
          </w:p>
          <w:p w14:paraId="48638A63" w14:textId="77777777" w:rsidR="00CD50BF" w:rsidRPr="00DC7859" w:rsidRDefault="00CD50BF" w:rsidP="00A95B0D">
            <w:pPr>
              <w:numPr>
                <w:ilvl w:val="0"/>
                <w:numId w:val="3"/>
              </w:numPr>
              <w:spacing w:after="0"/>
              <w:rPr>
                <w:rFonts w:ascii="Arial" w:hAnsi="Arial" w:cs="Arial"/>
                <w:sz w:val="20"/>
                <w:szCs w:val="20"/>
              </w:rPr>
            </w:pPr>
            <w:r w:rsidRPr="00DC7859">
              <w:rPr>
                <w:rFonts w:ascii="Arial" w:hAnsi="Arial" w:cs="Arial"/>
                <w:sz w:val="20"/>
                <w:szCs w:val="20"/>
              </w:rPr>
              <w:t xml:space="preserve">Norm referenced tests (E-asTTle and PAT):  </w:t>
            </w:r>
          </w:p>
          <w:p w14:paraId="2DC0CD9C" w14:textId="77777777" w:rsidR="00CD50BF" w:rsidRDefault="00CD50BF" w:rsidP="00A95B0D">
            <w:pPr>
              <w:pStyle w:val="ListParagraph"/>
              <w:ind w:left="0"/>
              <w:rPr>
                <w:rFonts w:ascii="Arial" w:hAnsi="Arial" w:cs="Arial"/>
                <w:b/>
              </w:rPr>
            </w:pPr>
          </w:p>
          <w:p w14:paraId="589CA4C0" w14:textId="77777777" w:rsidR="00CD50BF" w:rsidRDefault="00CD50BF" w:rsidP="00A95B0D">
            <w:pPr>
              <w:pStyle w:val="ListParagraph"/>
              <w:ind w:left="0"/>
              <w:rPr>
                <w:rFonts w:ascii="Arial" w:hAnsi="Arial" w:cs="Arial"/>
                <w:b/>
              </w:rPr>
            </w:pPr>
            <w:r w:rsidRPr="00DC7859">
              <w:rPr>
                <w:rFonts w:ascii="Arial" w:hAnsi="Arial" w:cs="Arial"/>
                <w:b/>
              </w:rPr>
              <w:t>National Standards are referenced by OTJ</w:t>
            </w:r>
            <w:r w:rsidRPr="00DC7859">
              <w:rPr>
                <w:rFonts w:ascii="Arial" w:hAnsi="Arial" w:cs="Arial"/>
                <w:b/>
              </w:rPr>
              <w:tab/>
            </w:r>
          </w:p>
          <w:p w14:paraId="0C6933BE" w14:textId="77777777" w:rsidR="00CD50BF" w:rsidRPr="00DC7859" w:rsidRDefault="00CD50BF" w:rsidP="00A95B0D">
            <w:pPr>
              <w:pStyle w:val="ListParagraph"/>
              <w:ind w:left="0"/>
              <w:rPr>
                <w:rFonts w:ascii="Arial" w:hAnsi="Arial" w:cs="Arial"/>
                <w:b/>
              </w:rPr>
            </w:pPr>
            <w:r w:rsidRPr="00DC7859">
              <w:rPr>
                <w:rFonts w:ascii="Arial" w:hAnsi="Arial" w:cs="Arial"/>
                <w:b/>
              </w:rPr>
              <w:tab/>
            </w:r>
            <w:r w:rsidRPr="00DC7859">
              <w:rPr>
                <w:rFonts w:ascii="Arial" w:hAnsi="Arial" w:cs="Arial"/>
                <w:b/>
              </w:rPr>
              <w:tab/>
            </w:r>
            <w:r w:rsidRPr="00DC7859">
              <w:rPr>
                <w:rFonts w:ascii="Arial" w:hAnsi="Arial" w:cs="Arial"/>
                <w:b/>
              </w:rPr>
              <w:tab/>
            </w:r>
            <w:r w:rsidRPr="00DC7859">
              <w:rPr>
                <w:rFonts w:ascii="Arial" w:hAnsi="Arial" w:cs="Arial"/>
                <w:b/>
              </w:rPr>
              <w:tab/>
            </w:r>
            <w:r w:rsidRPr="00DC7859">
              <w:rPr>
                <w:rFonts w:ascii="Arial" w:hAnsi="Arial" w:cs="Arial"/>
                <w:b/>
              </w:rPr>
              <w:tab/>
            </w:r>
          </w:p>
          <w:p w14:paraId="3AF2B945" w14:textId="77777777" w:rsidR="00CD50BF" w:rsidRDefault="00CD50BF" w:rsidP="00A95B0D">
            <w:pPr>
              <w:rPr>
                <w:rFonts w:ascii="Arial" w:hAnsi="Arial" w:cs="Arial"/>
                <w:sz w:val="20"/>
                <w:szCs w:val="20"/>
              </w:rPr>
            </w:pPr>
            <w:r>
              <w:rPr>
                <w:noProof/>
                <w:lang w:val="en-US"/>
              </w:rPr>
              <mc:AlternateContent>
                <mc:Choice Requires="wps">
                  <w:drawing>
                    <wp:anchor distT="0" distB="0" distL="114300" distR="114300" simplePos="0" relativeHeight="251660288" behindDoc="0" locked="0" layoutInCell="1" allowOverlap="1" wp14:anchorId="60ADBAA4" wp14:editId="03DE0411">
                      <wp:simplePos x="0" y="0"/>
                      <wp:positionH relativeFrom="column">
                        <wp:posOffset>1561465</wp:posOffset>
                      </wp:positionH>
                      <wp:positionV relativeFrom="paragraph">
                        <wp:posOffset>66040</wp:posOffset>
                      </wp:positionV>
                      <wp:extent cx="494665" cy="205740"/>
                      <wp:effectExtent l="0" t="0" r="76835" b="609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122.95pt;margin-top:5.2pt;width:38.9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1FEECAAByBAAADgAAAGRycy9lMm9Eb2MueG1srFRNb9swDL0P2H8QdE9tp06aGHWKwkl26dYC&#10;7X6AIsmxMFkUJDVOMOy/j1I+1m6XYZgPMmWRj4+PlG/v9r0mO+m8AlPT4iqnRBoOQpltTb++rEcz&#10;SnxgRjANRtb0ID29W3z8cDvYSo6hAy2kIwhifDXYmnYh2CrLPO9kz/wVWGnwsAXXs4Bbt82EYwOi&#10;9zob5/k0G8AJ64BL7/Hr8nhIFwm/bSUPj23rZSC6psgtpNWldRPXbHHLqq1jtlP8RIP9A4ueKYNJ&#10;L1BLFhh5deoPqF5xBx7acMWhz6BtFZepBqymyH+r5rljVqZaUBxvLzL5/wfLv+yeHFECe3dNiWE9&#10;9ug5OKa2XSD3zsFAGjAGdQRH0AX1GqyvMKwxTy5WzPfm2T4A/+aJgaZjZisT75eDRawiRmTvQuLG&#10;W8y6GT6DQB/2GiCJt29dHyFRFrJPPTpceiT3gXD8WM7L6XRCCcejcT65KVMPM1adg63z4ZOEnkSj&#10;pv5UzKWKIqViuwcfIjVWnQNiZgNrpXUaCm3IUNP5ZDxJAR60EvEwunm33TTakR2LY5WeVCeevHVz&#10;8GpEAuskE6uTHZjSaJOQBApOoWRa0pitl4ISLfEmRetIT5uYEctHwifrOFnf5/l8NVvNylE5nq5G&#10;ZS7E6H7dlKPpuriZLK+XTbMsfkTyRVl1SghpIv/zlBfl303R6b4d5/My5xehsvfoSVEke34n0qn/&#10;seXH4dmAODy5WF0cBRzs5Hy6hPHmvN0nr1+/isVPAAAA//8DAFBLAwQUAAYACAAAACEAS2E1puAA&#10;AAAJAQAADwAAAGRycy9kb3ducmV2LnhtbEyPwU7DMBBE70j8g7VI3KhDGqI2xKmACpELSLQIcXTj&#10;JbGI11Hstilfz3KC42qeZt+Uq8n14oBjsJ4UXM8SEEiNN5ZaBW/bx6sFiBA1Gd17QgUnDLCqzs9K&#10;XRh/pFc8bGIruIRCoRV0MQ6FlKHp0Okw8wMSZ59+dDryObbSjPrI5a6XaZLk0mlL/KHTAz502Hxt&#10;9k5BXH+cuvy9uV/al+3Tc26/67peK3V5Md3dgog4xT8YfvVZHSp22vk9mSB6BWl2s2SUgyQDwcA8&#10;nfOWnYIsXYCsSvl/QfUDAAD//wMAUEsBAi0AFAAGAAgAAAAhAOSZw8D7AAAA4QEAABMAAAAAAAAA&#10;AAAAAAAAAAAAAFtDb250ZW50X1R5cGVzXS54bWxQSwECLQAUAAYACAAAACEAI7Jq4dcAAACUAQAA&#10;CwAAAAAAAAAAAAAAAAAsAQAAX3JlbHMvLnJlbHNQSwECLQAUAAYACAAAACEAp4+1FEECAAByBAAA&#10;DgAAAAAAAAAAAAAAAAAsAgAAZHJzL2Uyb0RvYy54bWxQSwECLQAUAAYACAAAACEAS2E1puAAAAAJ&#10;AQAADwAAAAAAAAAAAAAAAACZBAAAZHJzL2Rvd25yZXYueG1sUEsFBgAAAAAEAAQA8wAAAKYFAAAA&#10;AA==&#10;">
                      <v:stroke endarrow="block"/>
                    </v:shape>
                  </w:pict>
                </mc:Fallback>
              </mc:AlternateContent>
            </w:r>
            <w:r>
              <w:rPr>
                <w:rFonts w:ascii="Arial" w:hAnsi="Arial" w:cs="Arial"/>
                <w:sz w:val="20"/>
                <w:szCs w:val="20"/>
              </w:rPr>
              <w:t>Work Samples                                                                                                                                       Learning Progressions</w:t>
            </w:r>
          </w:p>
          <w:p w14:paraId="0CBA5D38" w14:textId="77777777" w:rsidR="00CD50BF" w:rsidRDefault="00CD50BF" w:rsidP="00A95B0D">
            <w:pPr>
              <w:rPr>
                <w:rFonts w:ascii="Arial" w:hAnsi="Arial" w:cs="Arial"/>
                <w:sz w:val="20"/>
                <w:szCs w:val="20"/>
              </w:rPr>
            </w:pPr>
            <w:r>
              <w:rPr>
                <w:noProof/>
                <w:lang w:val="en-US"/>
              </w:rPr>
              <mc:AlternateContent>
                <mc:Choice Requires="wps">
                  <w:drawing>
                    <wp:anchor distT="0" distB="0" distL="114300" distR="114300" simplePos="0" relativeHeight="251663360" behindDoc="0" locked="0" layoutInCell="1" allowOverlap="1" wp14:anchorId="774EB586" wp14:editId="2196BC1C">
                      <wp:simplePos x="0" y="0"/>
                      <wp:positionH relativeFrom="column">
                        <wp:posOffset>5052060</wp:posOffset>
                      </wp:positionH>
                      <wp:positionV relativeFrom="paragraph">
                        <wp:posOffset>1905</wp:posOffset>
                      </wp:positionV>
                      <wp:extent cx="471170" cy="94615"/>
                      <wp:effectExtent l="38100" t="0" r="24130" b="768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97.8pt;margin-top:.15pt;width:37.1pt;height:7.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0jLEMCAAB7BAAADgAAAGRycy9lMm9Eb2MueG1srFRNb9swDL0P2H8QdE8dZ86X0aQonGQ7dF2A&#10;dD9AkeRYmCwKkhonGPbfRyluum6XYZgPMmWRj4/kk2/vTq0mR+m8ArOg+c2QEmk4CGUOC/r1aTOY&#10;UeIDM4JpMHJBz9LTu+X7d7edLeUIGtBCOoIgxpedXdAmBFtmmeeNbJm/ASsNHtbgWhZw6w6ZcKxD&#10;9FZno+FwknXghHXApff4dXU5pMuEX9eShy917WUgekGRW0irS+s+rtnylpUHx2yjeE+D/QOLlimD&#10;Sa9QKxYYeXbqD6hWcQce6nDDoc2grhWXqQasJh/+Vs2uYVamWrA53l7b5P8fLH88bh1RAmdXUGJY&#10;izPaBcfUoQnk3jnoSAXGYB/BEXTBfnXWlxhWma2LFfOT2dkH4N88MVA1zBxk4v10toiVx4jsTUjc&#10;eItZ991nEOjDngOk5p1q15JaK/spBkZwbBA5pWmdr9OSp0A4fiymeT7FmXI8mheTfJxSsTKixFjr&#10;fPgooSXRWFDfV3Ut55KBHR98iBxfA2KwgY3SOqlDG9JhhvFonCh50ErEw+jm3WFfaUeOLOorPT2L&#10;N24Ono1IYI1kYt3bgSmNNgmpU8Ep7J2WNGZrpaBES7xS0brQ0yZmxOqRcG9dJPZ9PpyvZ+tZMShG&#10;k/WgGAoxuN9UxWCyyafj1YdVVa3yH5F8XpSNEkKayP9F7nnxd3LqL95FqFfBXxuVvUVPHUWyL+9E&#10;Ogkhzv6ioj2I89bF6qImUOHJub+N8Qr9uk9er/+M5U8AAAD//wMAUEsDBBQABgAIAAAAIQCh1xVm&#10;3QAAAAcBAAAPAAAAZHJzL2Rvd25yZXYueG1sTI9BT4NAEIXvJv6HzZh4MXYRA1JkaYxaezKNWO9b&#10;dgRSdpaw2xb+veNJj5P35b1vitVke3HC0XeOFNwtIhBItTMdNQp2n+vbDIQPmozuHaGCGT2sysuL&#10;QufGnekDT1VoBJeQz7WCNoQhl9LXLVrtF25A4uzbjVYHPsdGmlGfudz2Mo6iVFrdES+0esDnFutD&#10;dbQKXqptsv662U3xXG/eq7fssKX5Vanrq+npEUTAKfzB8KvP6lCy094dyXjRK3hYJimjCu5BcJyl&#10;S/5kz1wSgywL+d+//AEAAP//AwBQSwECLQAUAAYACAAAACEA5JnDwPsAAADhAQAAEwAAAAAAAAAA&#10;AAAAAAAAAAAAW0NvbnRlbnRfVHlwZXNdLnhtbFBLAQItABQABgAIAAAAIQAjsmrh1wAAAJQBAAAL&#10;AAAAAAAAAAAAAAAAACwBAABfcmVscy8ucmVsc1BLAQItABQABgAIAAAAIQCDDSMsQwIAAHsEAAAO&#10;AAAAAAAAAAAAAAAAACwCAABkcnMvZTJvRG9jLnhtbFBLAQItABQABgAIAAAAIQCh1xVm3QAAAAcB&#10;AAAPAAAAAAAAAAAAAAAAAJs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59264" behindDoc="0" locked="0" layoutInCell="1" allowOverlap="1" wp14:anchorId="2EBB3D56" wp14:editId="602CEACD">
                      <wp:simplePos x="0" y="0"/>
                      <wp:positionH relativeFrom="column">
                        <wp:posOffset>2917190</wp:posOffset>
                      </wp:positionH>
                      <wp:positionV relativeFrom="paragraph">
                        <wp:posOffset>1905</wp:posOffset>
                      </wp:positionV>
                      <wp:extent cx="2134870" cy="1175385"/>
                      <wp:effectExtent l="0" t="0" r="1778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1175385"/>
                              </a:xfrm>
                              <a:prstGeom prst="rect">
                                <a:avLst/>
                              </a:prstGeom>
                              <a:solidFill>
                                <a:srgbClr val="FFFFFF"/>
                              </a:solidFill>
                              <a:ln w="9525">
                                <a:solidFill>
                                  <a:srgbClr val="000000"/>
                                </a:solidFill>
                                <a:miter lim="800000"/>
                                <a:headEnd/>
                                <a:tailEnd/>
                              </a:ln>
                            </wps:spPr>
                            <wps:txbx>
                              <w:txbxContent>
                                <w:p w14:paraId="6854D98D" w14:textId="77777777" w:rsidR="00CD50BF" w:rsidRDefault="00CD50BF" w:rsidP="00CD50BF"/>
                                <w:p w14:paraId="1A2ADA08" w14:textId="77777777" w:rsidR="00CD50BF" w:rsidRDefault="00CD50BF" w:rsidP="00CD50BF">
                                  <w:pPr>
                                    <w:rPr>
                                      <w:b/>
                                      <w:sz w:val="40"/>
                                    </w:rPr>
                                  </w:pPr>
                                  <w:r>
                                    <w:rPr>
                                      <w:b/>
                                      <w:sz w:val="40"/>
                                    </w:rPr>
                                    <w:t xml:space="preserve">          O. T. J.</w:t>
                                  </w:r>
                                </w:p>
                                <w:p w14:paraId="78FB1648" w14:textId="77777777" w:rsidR="00CD50BF" w:rsidRDefault="00CD50BF" w:rsidP="00CD5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9.7pt;margin-top:.15pt;width:168.1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s8aCoCAABKBAAADgAAAGRycy9lMm9Eb2MueG1srFTbjtMwEH1H4h8sv9M03ZZ2o6arVZcipAVW&#10;LHyA4ziJhW+M3Sbl63fsdEsXeELkwfJkxidnzhlnfTNoRQ4CvLSmpPlkSokw3NbStCX99nX3ZkWJ&#10;D8zUTFkjSnoUnt5sXr9a964QM9tZVQsgCGJ80buSdiG4Iss874RmfmKdMJhsLGgWMIQ2q4H1iK5V&#10;NptO32a9hdqB5cJ7fHs3Jukm4TeN4OFz03gRiCopcgtphbRWcc02a1a0wFwn+YkG+wcWmkmDHz1D&#10;3bHAyB7kH1BacrDeNmHCrc5s00guUg/YTT79rZvHjjmRekFxvDvL5P8fLP90eAAia/RuQYlhGj36&#10;gqox0ypB8B0K1DtfYN2je4DYonf3ln/3xNhth2XiFsD2nWA10spjffbiQAw8HiVV/9HWCM/2wSat&#10;hgZ0BEQVyJAsOZ4tEUMgHF/O8qv5aonOcczl+XJxtUqcMlY8H3fgw3thNYmbkgKyT/DscO9DpMOK&#10;55JE3ypZ76RSKYC22iogB4bzsUtP6gC7vCxThvQlvV7MFgn5Rc5fQkzT8zcILQMOupK6pKtzESui&#10;bu9MncYwMKnGPVJW5iRk1G70IAzVcLKjsvURJQU7DjReQNx0Fn5S0uMwl9T/2DMQlKgPBm25zufz&#10;OP0pmC+WMwzgMlNdZpjhCFXSQMm43YbxxuwdyLbDL+VJBmNv0cpGJpGjzSOrE28c2KT96XLFG3EZ&#10;p6pfv4DNEwAAAP//AwBQSwMEFAAGAAgAAAAhAAP+3qPeAAAACAEAAA8AAABkcnMvZG93bnJldi54&#10;bWxMj0FPg0AQhe8m/ofNmHiziy3UgiyN0dTEY0sv3gZ2BJSdJezSor/e9VSPk/flvW/y7Wx6caLR&#10;dZYV3C8iEMS11R03Co7l7m4Dwnlkjb1lUvBNDrbF9VWOmbZn3tPp4BsRSthlqKD1fsikdHVLBt3C&#10;DsQh+7CjQR/OsZF6xHMoN71cRtFaGuw4LLQ40HNL9ddhMgqqbnnEn335Gpl0t/Jvc/k5vb8odXsz&#10;Pz2C8DT7Cwx/+kEdiuBU2Ym1E72COEnjgCpYgQjxQ5qsQVSB2yQxyCKX/x8ofgEAAP//AwBQSwEC&#10;LQAUAAYACAAAACEA5JnDwPsAAADhAQAAEwAAAAAAAAAAAAAAAAAAAAAAW0NvbnRlbnRfVHlwZXNd&#10;LnhtbFBLAQItABQABgAIAAAAIQAjsmrh1wAAAJQBAAALAAAAAAAAAAAAAAAAACwBAABfcmVscy8u&#10;cmVsc1BLAQItABQABgAIAAAAIQDqSzxoKgIAAEoEAAAOAAAAAAAAAAAAAAAAACwCAABkcnMvZTJv&#10;RG9jLnhtbFBLAQItABQABgAIAAAAIQAD/t6j3gAAAAgBAAAPAAAAAAAAAAAAAAAAAIIEAABkcnMv&#10;ZG93bnJldi54bWxQSwUGAAAAAAQABADzAAAAjQUAAAAA&#10;">
                      <v:textbox>
                        <w:txbxContent>
                          <w:p w:rsidR="00CD50BF" w:rsidRDefault="00CD50BF" w:rsidP="00CD50BF"/>
                          <w:p w:rsidR="00CD50BF" w:rsidRDefault="00CD50BF" w:rsidP="00CD50BF">
                            <w:pPr>
                              <w:rPr>
                                <w:b/>
                                <w:sz w:val="40"/>
                              </w:rPr>
                            </w:pPr>
                            <w:r>
                              <w:rPr>
                                <w:b/>
                                <w:sz w:val="40"/>
                              </w:rPr>
                              <w:t xml:space="preserve">          O. T. J.</w:t>
                            </w:r>
                          </w:p>
                          <w:p w:rsidR="00CD50BF" w:rsidRDefault="00CD50BF" w:rsidP="00CD50BF"/>
                        </w:txbxContent>
                      </v:textbox>
                    </v:rect>
                  </w:pict>
                </mc:Fallback>
              </mc:AlternateContent>
            </w:r>
            <w:r>
              <w:rPr>
                <w:rFonts w:ascii="Arial" w:hAnsi="Arial" w:cs="Arial"/>
                <w:sz w:val="20"/>
                <w:szCs w:val="20"/>
              </w:rPr>
              <w:t>Evidence of student</w:t>
            </w:r>
          </w:p>
          <w:p w14:paraId="6496D5F4" w14:textId="77777777" w:rsidR="00CD50BF" w:rsidRDefault="00CD50BF" w:rsidP="00A95B0D">
            <w:pPr>
              <w:rPr>
                <w:rFonts w:ascii="Arial" w:hAnsi="Arial" w:cs="Arial"/>
                <w:sz w:val="20"/>
                <w:szCs w:val="20"/>
              </w:rPr>
            </w:pPr>
            <w:r>
              <w:rPr>
                <w:rFonts w:ascii="Arial" w:hAnsi="Arial" w:cs="Arial"/>
                <w:sz w:val="20"/>
                <w:szCs w:val="20"/>
              </w:rPr>
              <w:t xml:space="preserve">Learning (hard copy and on line)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99ADCB8" w14:textId="77777777" w:rsidR="00CD50BF" w:rsidRDefault="00CD50BF" w:rsidP="00A95B0D">
            <w:pPr>
              <w:rPr>
                <w:rFonts w:ascii="Arial" w:hAnsi="Arial" w:cs="Arial"/>
                <w:sz w:val="20"/>
                <w:szCs w:val="20"/>
              </w:rPr>
            </w:pPr>
            <w:r>
              <w:rPr>
                <w:rFonts w:ascii="Arial" w:hAnsi="Arial" w:cs="Arial"/>
                <w:sz w:val="20"/>
                <w:szCs w:val="20"/>
              </w:rPr>
              <w:t>Observable in a learning context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12219D" w14:textId="77777777" w:rsidR="00CD50BF" w:rsidRDefault="00CD50BF" w:rsidP="00A95B0D">
            <w:pPr>
              <w:rPr>
                <w:rFonts w:ascii="Arial" w:hAnsi="Arial" w:cs="Arial"/>
                <w:sz w:val="20"/>
                <w:szCs w:val="20"/>
              </w:rPr>
            </w:pPr>
          </w:p>
          <w:p w14:paraId="73A0424C" w14:textId="77777777" w:rsidR="00CD50BF" w:rsidRDefault="00CD50BF" w:rsidP="00A95B0D">
            <w:pPr>
              <w:rPr>
                <w:rFonts w:ascii="Arial" w:hAnsi="Arial" w:cs="Arial"/>
                <w:sz w:val="20"/>
                <w:szCs w:val="20"/>
              </w:rPr>
            </w:pPr>
            <w:r>
              <w:rPr>
                <w:noProof/>
                <w:lang w:val="en-US"/>
              </w:rPr>
              <mc:AlternateContent>
                <mc:Choice Requires="wps">
                  <w:drawing>
                    <wp:anchor distT="0" distB="0" distL="114300" distR="114300" simplePos="0" relativeHeight="251662336" behindDoc="0" locked="0" layoutInCell="1" allowOverlap="1" wp14:anchorId="36389D27" wp14:editId="34F1C37A">
                      <wp:simplePos x="0" y="0"/>
                      <wp:positionH relativeFrom="column">
                        <wp:posOffset>5175885</wp:posOffset>
                      </wp:positionH>
                      <wp:positionV relativeFrom="paragraph">
                        <wp:posOffset>-5715</wp:posOffset>
                      </wp:positionV>
                      <wp:extent cx="341630" cy="109855"/>
                      <wp:effectExtent l="38100" t="38100" r="2032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63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07.55pt;margin-top:-.4pt;width:26.9pt;height:8.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LwVEgCAACGBAAADgAAAGRycy9lMm9Eb2MueG1srFTBjtMwEL0j8Q+W790k3bS00aarVdrCYYFK&#10;Xbi7ttNYOLZle5tWiH/fsZMGFi4IkYMzjmfevJl5zt39uZXoxK0TWpU4u0kx4opqJtSxxF+etpMF&#10;Rs4TxYjUipf4wh2+X719c9eZgk91oyXjFgGIckVnStx4b4okcbThLXE32nAFh7W2LfGwtceEWdIB&#10;eiuTaZrOk05bZqym3Dn4uu4P8Sri1zWn/nNdO+6RLDFw83G1cT2ENVndkeJoiWkEHWiQf2DREqEg&#10;6Qi1Jp6gZyv+gGoFtdrp2t9Q3Sa6rgXlsQaoJkt/q2bfEMNjLdAcZ8Y2uf8HSz+ddhYJBrPLMFKk&#10;hRntvSXi2Hj0YK3uUKWVgj5qi8AF+tUZV0BYpXY2VEzPam8eNf3mkNJVQ9SRR95PFwNYMSJ5FRI2&#10;zkDWQ/dRM/Ahz17H5p1r26JaCvMhBEbra7BCGmgVOse5Xca58bNHFD7e5tn8FqZL4ShLl4vZLPBM&#10;SBEAQ7Cxzr/nukXBKLEbChwr61OQ06PzfeA1IAQrvRVSRqFIhboSL2fTWeTktBQsHAY3Z4+HSlp0&#10;IkFq8RlYvHKz+lmxCNZwwjaD7YmQYCMfm+atgDZKjkO2ljOMJIfbFayenlQhI5QPhAerV9v3Zbrc&#10;LDaLfJJP55tJnjI2edhW+WS+zd7N1rfrqlpnPwL5LC8awRhXgf9V+Vn+d8oa7mCv2VH7Y6OS1+hx&#10;FED2+o6koyaCDHpBHTS77GyoLsgDxB6dh4sZbtOv++j18/exegEAAP//AwBQSwMEFAAGAAgAAAAh&#10;AFHpOEveAAAACAEAAA8AAABkcnMvZG93bnJldi54bWxMj8FOwzAQRO9I/QdrK3GjThCN0hCnQkic&#10;ACHaXri58TaJGq/d2E3D37M90eNqnmbflOvJ9mLEIXSOFKSLBARS7UxHjYLd9u0hBxGiJqN7R6jg&#10;FwOsq9ldqQvjLvSN4yY2gksoFFpBG6MvpAx1i1aHhfNInB3cYHXkc2ikGfSFy20vH5Mkk1Z3xB9a&#10;7fG1xfq4OVsFh8TXX6vtuzmd/NPYfPzsfPp5VOp+Pr08g4g4xX8YrvqsDhU77d2ZTBC9gjxdpowq&#10;uC7gPM/yFYg9g9kSZFXK2wHVHwAAAP//AwBQSwECLQAUAAYACAAAACEA5JnDwPsAAADhAQAAEwAA&#10;AAAAAAAAAAAAAAAAAAAAW0NvbnRlbnRfVHlwZXNdLnhtbFBLAQItABQABgAIAAAAIQAjsmrh1wAA&#10;AJQBAAALAAAAAAAAAAAAAAAAACwBAABfcmVscy8ucmVsc1BLAQItABQABgAIAAAAIQC7EvBUSAIA&#10;AIYEAAAOAAAAAAAAAAAAAAAAACwCAABkcnMvZTJvRG9jLnhtbFBLAQItABQABgAIAAAAIQBR6ThL&#10;3gAAAAgBAAAPAAAAAAAAAAAAAAAAAKAEAABkcnMvZG93bnJldi54bWxQSwUGAAAAAAQABADzAAAA&#10;qwUAAAAA&#10;">
                      <v:stroke endarrow="block"/>
                    </v:shape>
                  </w:pict>
                </mc:Fallback>
              </mc:AlternateContent>
            </w:r>
            <w:r>
              <w:rPr>
                <w:noProof/>
                <w:lang w:val="en-US"/>
              </w:rPr>
              <mc:AlternateContent>
                <mc:Choice Requires="wps">
                  <w:drawing>
                    <wp:anchor distT="0" distB="0" distL="114300" distR="114300" simplePos="0" relativeHeight="251661312" behindDoc="0" locked="0" layoutInCell="1" allowOverlap="1" wp14:anchorId="39E4DEC9" wp14:editId="1C439917">
                      <wp:simplePos x="0" y="0"/>
                      <wp:positionH relativeFrom="column">
                        <wp:posOffset>1759585</wp:posOffset>
                      </wp:positionH>
                      <wp:positionV relativeFrom="paragraph">
                        <wp:posOffset>28575</wp:posOffset>
                      </wp:positionV>
                      <wp:extent cx="781685" cy="198755"/>
                      <wp:effectExtent l="0" t="57150" r="0" b="298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68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38.55pt;margin-top:2.25pt;width:61.55pt;height:15.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yv0QCAAB8BAAADgAAAGRycy9lMm9Eb2MueG1srFRNb9swDL0P2H8QdE8dZ/k06hSFk+zSrQHa&#10;7a5IcixMFgVJiRMM+++jFDddt8swzAeZssjHR/LJt3enVpOjdF6BKWl+M6REGg5CmX1JvzxvBnNK&#10;fGBGMA1GlvQsPb1bvn9329lCjqABLaQjCGJ80dmSNiHYIss8b2TL/A1YafCwBteygFu3z4RjHaK3&#10;OhsNh9OsAyesAy69x6+ryyFdJvy6ljw81rWXgeiSIreQVpfWXVyz5S0r9o7ZRvGeBvsHFi1TBpNe&#10;oVYsMHJw6g+oVnEHHupww6HNoK4Vl6kGrCYf/lbNU8OsTLVgc7y9tsn/P1j++bh1RAmc3YgSw1qc&#10;0VNwTO2bQO6dg45UYAz2ERxBF+xXZ32BYZXZulgxP5kn+wD8mycGqoaZvUy8n88WsfIYkb0JiRtv&#10;Meuu+wQCfdghQGreqXYtqbWyX2NgBMcGkVOa1vk6LXkKhOPH2TyfzieUcDzKF/PZZJJysSLCxGDr&#10;fPgooSXRKKnvy7rWc0nBjg8+RJKvATHYwEZpneShDelKupiMJomTB61EPIxu3u13lXbkyKLA0tOz&#10;eOPm4GBEAmskE+veDkxptElIrQpOYfO0pDFbKwUlWuKditaFnjYxI5aPhHvrorHvi+FiPV/Px4Px&#10;aLoejIdCDO431Xgw3eSzyerDqqpW+Y9IPh8XjRJCmsj/Re/5+O/01N+8i1Kvir82KnuLnjqKZF/e&#10;iXRSQhz+RUY7EOeti9VFUaDEk3N/HeMd+nWfvF5/GsufAAAA//8DAFBLAwQUAAYACAAAACEAyIdf&#10;iN8AAAAIAQAADwAAAGRycy9kb3ducmV2LnhtbEyPQU+DQBSE7yb+h80z8WLsbrFYgjwao1ZPphHr&#10;fQtPIGXfEnbbwr/v9qTHyUxmvslWo+nEkQbXWkaYzxQI4tJWLdcI2+/1fQLCec2V7iwTwkQOVvn1&#10;VabTyp74i46Fr0UoYZdqhMb7PpXSlQ0Z7Wa2Jw7erx2M9kEOtawGfQrlppORUo/S6JbDQqN7emmo&#10;3BcHg/BabOL1z912jKby47N4T/Ybnt4Qb2/G5ycQnkb/F4YLfkCHPDDt7IErJzqEaLmchyjCIgYR&#10;/IVSEYgdwkOcgMwz+f9AfgYAAP//AwBQSwECLQAUAAYACAAAACEA5JnDwPsAAADhAQAAEwAAAAAA&#10;AAAAAAAAAAAAAAAAW0NvbnRlbnRfVHlwZXNdLnhtbFBLAQItABQABgAIAAAAIQAjsmrh1wAAAJQB&#10;AAALAAAAAAAAAAAAAAAAACwBAABfcmVscy8ucmVsc1BLAQItABQABgAIAAAAIQDXKXK/RAIAAHwE&#10;AAAOAAAAAAAAAAAAAAAAACwCAABkcnMvZTJvRG9jLnhtbFBLAQItABQABgAIAAAAIQDIh1+I3wAA&#10;AAgBAAAPAAAAAAAAAAAAAAAAAJwEAABkcnMvZG93bnJldi54bWxQSwUGAAAAAAQABADzAAAAqAUA&#10;AAAA&#10;">
                      <v:stroke endarrow="block"/>
                    </v:shape>
                  </w:pict>
                </mc:Fallback>
              </mc:AlternateContent>
            </w:r>
            <w:r>
              <w:rPr>
                <w:rFonts w:ascii="Arial" w:hAnsi="Arial" w:cs="Arial"/>
                <w:sz w:val="20"/>
                <w:szCs w:val="20"/>
              </w:rPr>
              <w:t>Knowledge of the                                                                                                                                    Norm referenced tests (only one needed)</w:t>
            </w:r>
          </w:p>
          <w:p w14:paraId="661C5BA3" w14:textId="77777777" w:rsidR="00CD50BF" w:rsidRPr="00DC7859" w:rsidRDefault="00CD50BF" w:rsidP="00A95B0D">
            <w:pPr>
              <w:rPr>
                <w:rFonts w:ascii="Arial" w:hAnsi="Arial" w:cs="Arial"/>
                <w:sz w:val="20"/>
                <w:szCs w:val="20"/>
              </w:rPr>
            </w:pPr>
            <w:r>
              <w:rPr>
                <w:rFonts w:ascii="Arial" w:hAnsi="Arial" w:cs="Arial"/>
                <w:sz w:val="20"/>
                <w:szCs w:val="20"/>
              </w:rPr>
              <w:t xml:space="preserve">Learner: Parent, teacher, peer and student. </w:t>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sz w:val="16"/>
                <w:szCs w:val="16"/>
              </w:rPr>
              <w:tab/>
            </w:r>
          </w:p>
          <w:p w14:paraId="68F46A22" w14:textId="77777777" w:rsidR="00CD50BF" w:rsidRDefault="00CD50BF" w:rsidP="00A95B0D">
            <w:pPr>
              <w:rPr>
                <w:rFonts w:ascii="Arial" w:hAnsi="Arial" w:cs="Arial"/>
                <w:b/>
                <w:color w:val="00B050"/>
              </w:rPr>
            </w:pPr>
            <w:r>
              <w:rPr>
                <w:rFonts w:ascii="Arial" w:hAnsi="Arial" w:cs="Arial"/>
                <w:b/>
                <w:color w:val="00B050"/>
              </w:rPr>
              <w:t xml:space="preserve">NB We moderate and report on achievement levels conservatively so that we don’t overstate individual or cohort achievement. </w:t>
            </w:r>
          </w:p>
        </w:tc>
      </w:tr>
      <w:tr w:rsidR="00CD50BF" w14:paraId="278FA905" w14:textId="77777777" w:rsidTr="00A95B0D">
        <w:trPr>
          <w:trHeight w:val="25"/>
        </w:trPr>
        <w:tc>
          <w:tcPr>
            <w:tcW w:w="10632" w:type="dxa"/>
            <w:tcBorders>
              <w:top w:val="single" w:sz="4" w:space="0" w:color="auto"/>
              <w:left w:val="single" w:sz="4" w:space="0" w:color="auto"/>
              <w:bottom w:val="single" w:sz="4" w:space="0" w:color="auto"/>
              <w:right w:val="single" w:sz="4" w:space="0" w:color="auto"/>
            </w:tcBorders>
            <w:shd w:val="clear" w:color="auto" w:fill="B8CCE4"/>
          </w:tcPr>
          <w:p w14:paraId="0D5D4E91" w14:textId="77777777" w:rsidR="00CD50BF" w:rsidRPr="0024219A" w:rsidRDefault="00CD50BF" w:rsidP="00A95B0D">
            <w:pPr>
              <w:pStyle w:val="BodyText"/>
              <w:spacing w:line="276" w:lineRule="auto"/>
              <w:ind w:left="175"/>
              <w:rPr>
                <w:b/>
                <w:color w:val="800000"/>
                <w:sz w:val="24"/>
                <w:szCs w:val="24"/>
                <w:lang w:val="en-GB" w:eastAsia="en-GB"/>
              </w:rPr>
            </w:pPr>
            <w:proofErr w:type="gramStart"/>
            <w:r>
              <w:rPr>
                <w:b/>
                <w:color w:val="800000"/>
                <w:sz w:val="24"/>
                <w:szCs w:val="24"/>
                <w:lang w:val="en-GB" w:eastAsia="en-GB"/>
              </w:rPr>
              <w:t xml:space="preserve">Statement </w:t>
            </w:r>
            <w:r w:rsidRPr="0024219A">
              <w:rPr>
                <w:b/>
                <w:color w:val="800000"/>
                <w:sz w:val="24"/>
                <w:szCs w:val="24"/>
                <w:lang w:val="en-GB" w:eastAsia="en-GB"/>
              </w:rPr>
              <w:t xml:space="preserve"> Improvement</w:t>
            </w:r>
            <w:proofErr w:type="gramEnd"/>
            <w:r w:rsidRPr="0024219A">
              <w:rPr>
                <w:b/>
                <w:color w:val="800000"/>
                <w:sz w:val="24"/>
                <w:szCs w:val="24"/>
                <w:lang w:val="en-GB" w:eastAsia="en-GB"/>
              </w:rPr>
              <w:t xml:space="preserve"> Plan</w:t>
            </w:r>
          </w:p>
          <w:p w14:paraId="4F9BD037" w14:textId="77777777" w:rsidR="00CD50BF" w:rsidRPr="00935A47" w:rsidRDefault="00CD50BF" w:rsidP="00A95B0D">
            <w:pPr>
              <w:ind w:left="176"/>
              <w:rPr>
                <w:rFonts w:ascii="Arial" w:hAnsi="Arial" w:cs="Arial"/>
                <w:b/>
                <w:color w:val="0000CC"/>
              </w:rPr>
            </w:pPr>
            <w:r w:rsidRPr="00935A47">
              <w:rPr>
                <w:rFonts w:ascii="Arial" w:hAnsi="Arial" w:cs="Arial"/>
                <w:b/>
                <w:color w:val="0000CC"/>
              </w:rPr>
              <w:t xml:space="preserve">2014 </w:t>
            </w:r>
            <w:r>
              <w:rPr>
                <w:rFonts w:ascii="Arial" w:hAnsi="Arial" w:cs="Arial"/>
                <w:b/>
                <w:color w:val="0000CC"/>
              </w:rPr>
              <w:t xml:space="preserve">Achievement Goals and Specific </w:t>
            </w:r>
            <w:r w:rsidRPr="00935A47">
              <w:rPr>
                <w:rFonts w:ascii="Arial" w:hAnsi="Arial" w:cs="Arial"/>
                <w:b/>
                <w:color w:val="0000CC"/>
              </w:rPr>
              <w:t>Targets</w:t>
            </w:r>
          </w:p>
        </w:tc>
      </w:tr>
    </w:tbl>
    <w:p w14:paraId="4D53F2E4" w14:textId="77777777" w:rsidR="00CD50BF" w:rsidRPr="002F0290" w:rsidRDefault="00CD50BF" w:rsidP="00CD50BF">
      <w:pPr>
        <w:pStyle w:val="BodyText"/>
        <w:rPr>
          <w:b/>
          <w:color w:val="365F91"/>
          <w:sz w:val="22"/>
          <w:szCs w:val="22"/>
          <w:highlight w:val="green"/>
          <w:lang w:val="en-GB" w:eastAsia="en-GB"/>
        </w:rPr>
      </w:pPr>
      <w:r w:rsidRPr="002F0290">
        <w:rPr>
          <w:b/>
          <w:color w:val="365F91"/>
          <w:sz w:val="22"/>
          <w:szCs w:val="22"/>
          <w:highlight w:val="green"/>
          <w:lang w:val="en-GB" w:eastAsia="en-GB"/>
        </w:rPr>
        <w:t>Base line data (see above)</w:t>
      </w:r>
    </w:p>
    <w:p w14:paraId="2899F902" w14:textId="77777777" w:rsidR="00CD50BF" w:rsidRPr="0036231F" w:rsidRDefault="00CD50BF" w:rsidP="00CD50BF">
      <w:pPr>
        <w:pStyle w:val="BodyText"/>
        <w:ind w:left="142"/>
        <w:rPr>
          <w:b/>
          <w:color w:val="365F91"/>
          <w:sz w:val="22"/>
          <w:szCs w:val="22"/>
          <w:lang w:val="en-GB" w:eastAsia="en-GB"/>
        </w:rPr>
      </w:pPr>
      <w:r w:rsidRPr="0036231F">
        <w:rPr>
          <w:b/>
          <w:color w:val="365F91"/>
          <w:sz w:val="22"/>
          <w:szCs w:val="22"/>
          <w:highlight w:val="yellow"/>
          <w:lang w:val="en-GB" w:eastAsia="en-GB"/>
        </w:rPr>
        <w:t>Mathematics:</w:t>
      </w:r>
    </w:p>
    <w:p w14:paraId="35F295F2" w14:textId="77777777" w:rsidR="00CD50BF" w:rsidRDefault="00CD50BF" w:rsidP="00CD50BF">
      <w:pPr>
        <w:pStyle w:val="BodyText"/>
        <w:ind w:left="142"/>
        <w:rPr>
          <w:color w:val="365F91"/>
          <w:sz w:val="22"/>
          <w:szCs w:val="22"/>
          <w:lang w:val="en-GB" w:eastAsia="en-GB"/>
        </w:rPr>
      </w:pPr>
      <w:r>
        <w:rPr>
          <w:b/>
          <w:color w:val="365F91"/>
          <w:sz w:val="22"/>
          <w:szCs w:val="22"/>
          <w:lang w:val="en-GB" w:eastAsia="en-GB"/>
        </w:rPr>
        <w:t xml:space="preserve">Strategic </w:t>
      </w:r>
      <w:r w:rsidRPr="0036231F">
        <w:rPr>
          <w:b/>
          <w:color w:val="365F91"/>
          <w:sz w:val="22"/>
          <w:szCs w:val="22"/>
          <w:lang w:val="en-GB" w:eastAsia="en-GB"/>
        </w:rPr>
        <w:t>Goal 1:</w:t>
      </w:r>
      <w:r w:rsidRPr="0036231F">
        <w:rPr>
          <w:color w:val="365F91"/>
          <w:sz w:val="22"/>
          <w:szCs w:val="22"/>
          <w:lang w:val="en-GB" w:eastAsia="en-GB"/>
        </w:rPr>
        <w:t xml:space="preserve"> </w:t>
      </w:r>
    </w:p>
    <w:p w14:paraId="366F450C" w14:textId="77777777" w:rsidR="00CD50BF" w:rsidRPr="0036231F" w:rsidRDefault="00CD50BF" w:rsidP="00CD50BF">
      <w:pPr>
        <w:pStyle w:val="BodyText"/>
        <w:ind w:left="142"/>
        <w:rPr>
          <w:color w:val="365F91"/>
          <w:sz w:val="22"/>
          <w:szCs w:val="22"/>
          <w:lang w:val="en-GB" w:eastAsia="en-GB"/>
        </w:rPr>
      </w:pPr>
      <w:r w:rsidRPr="0036231F">
        <w:rPr>
          <w:color w:val="365F91"/>
          <w:sz w:val="22"/>
          <w:szCs w:val="22"/>
          <w:lang w:val="en-GB" w:eastAsia="en-GB"/>
        </w:rPr>
        <w:t>Maintain the high levels of maths achievement across the school:</w:t>
      </w:r>
    </w:p>
    <w:p w14:paraId="65B8B8EB" w14:textId="77777777" w:rsidR="00CD50BF" w:rsidRDefault="00CD50BF" w:rsidP="00CD50BF">
      <w:pPr>
        <w:pStyle w:val="BodyText"/>
        <w:ind w:left="142"/>
        <w:rPr>
          <w:color w:val="365F91"/>
          <w:sz w:val="22"/>
          <w:szCs w:val="22"/>
          <w:lang w:val="en-GB" w:eastAsia="en-GB"/>
        </w:rPr>
      </w:pPr>
      <w:r w:rsidRPr="0036231F">
        <w:rPr>
          <w:b/>
          <w:color w:val="365F91"/>
          <w:sz w:val="22"/>
          <w:szCs w:val="22"/>
          <w:lang w:val="en-GB" w:eastAsia="en-GB"/>
        </w:rPr>
        <w:t>Target 1:</w:t>
      </w:r>
      <w:r w:rsidRPr="0036231F">
        <w:rPr>
          <w:color w:val="365F91"/>
          <w:sz w:val="22"/>
          <w:szCs w:val="22"/>
          <w:lang w:val="en-GB" w:eastAsia="en-GB"/>
        </w:rPr>
        <w:t xml:space="preserve"> </w:t>
      </w:r>
    </w:p>
    <w:p w14:paraId="7A9B0E39" w14:textId="77777777" w:rsidR="00CD50BF" w:rsidRDefault="00CD50BF" w:rsidP="00CD50BF">
      <w:pPr>
        <w:pStyle w:val="BodyText"/>
        <w:ind w:left="142"/>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 xml:space="preserve">ave 90% or more students across the school “at” or </w:t>
      </w:r>
      <w:r>
        <w:rPr>
          <w:color w:val="365F91"/>
          <w:sz w:val="22"/>
          <w:szCs w:val="22"/>
          <w:lang w:val="en-GB" w:eastAsia="en-GB"/>
        </w:rPr>
        <w:t>“</w:t>
      </w:r>
      <w:r w:rsidRPr="0036231F">
        <w:rPr>
          <w:color w:val="365F91"/>
          <w:sz w:val="22"/>
          <w:szCs w:val="22"/>
          <w:lang w:val="en-GB" w:eastAsia="en-GB"/>
        </w:rPr>
        <w:t>above</w:t>
      </w:r>
      <w:r>
        <w:rPr>
          <w:color w:val="365F91"/>
          <w:sz w:val="22"/>
          <w:szCs w:val="22"/>
          <w:lang w:val="en-GB" w:eastAsia="en-GB"/>
        </w:rPr>
        <w:t>”</w:t>
      </w:r>
      <w:r w:rsidRPr="0036231F">
        <w:rPr>
          <w:color w:val="365F91"/>
          <w:sz w:val="22"/>
          <w:szCs w:val="22"/>
          <w:lang w:val="en-GB" w:eastAsia="en-GB"/>
        </w:rPr>
        <w:t xml:space="preserve"> the standard.</w:t>
      </w:r>
    </w:p>
    <w:p w14:paraId="297D8E67" w14:textId="77777777" w:rsidR="00CD50BF" w:rsidRPr="009345FF" w:rsidRDefault="00CD50BF" w:rsidP="00CD50BF">
      <w:pPr>
        <w:pStyle w:val="BodyText"/>
        <w:ind w:left="142"/>
        <w:rPr>
          <w:sz w:val="22"/>
          <w:szCs w:val="22"/>
          <w:lang w:val="en-GB" w:eastAsia="en-GB"/>
        </w:rPr>
      </w:pPr>
      <w:r w:rsidRPr="00217B71">
        <w:rPr>
          <w:b/>
          <w:color w:val="365F91"/>
          <w:sz w:val="22"/>
          <w:szCs w:val="22"/>
          <w:lang w:val="en-GB" w:eastAsia="en-GB"/>
        </w:rPr>
        <w:t>Result:</w:t>
      </w:r>
      <w:r>
        <w:rPr>
          <w:sz w:val="22"/>
          <w:szCs w:val="22"/>
          <w:lang w:val="en-GB" w:eastAsia="en-GB"/>
        </w:rPr>
        <w:t xml:space="preserve"> 93% of students across the school were </w:t>
      </w:r>
      <w:r w:rsidRPr="009345FF">
        <w:rPr>
          <w:sz w:val="22"/>
          <w:szCs w:val="22"/>
          <w:lang w:val="en-GB" w:eastAsia="en-GB"/>
        </w:rPr>
        <w:t>“at” or “above” the standard</w:t>
      </w:r>
      <w:r>
        <w:rPr>
          <w:sz w:val="22"/>
          <w:szCs w:val="22"/>
          <w:lang w:val="en-GB" w:eastAsia="en-GB"/>
        </w:rPr>
        <w:t>. This target was met.</w:t>
      </w:r>
    </w:p>
    <w:p w14:paraId="50CCDC42" w14:textId="77777777" w:rsidR="00CD50BF" w:rsidRDefault="00CD50BF" w:rsidP="00CD50BF">
      <w:pPr>
        <w:pStyle w:val="BodyText"/>
        <w:rPr>
          <w:color w:val="365F91"/>
          <w:sz w:val="22"/>
          <w:szCs w:val="22"/>
          <w:lang w:val="en-GB" w:eastAsia="en-GB"/>
        </w:rPr>
      </w:pPr>
      <w:r>
        <w:rPr>
          <w:b/>
          <w:color w:val="365F91"/>
          <w:sz w:val="22"/>
          <w:szCs w:val="22"/>
          <w:lang w:val="en-GB" w:eastAsia="en-GB"/>
        </w:rPr>
        <w:t xml:space="preserve">  </w:t>
      </w:r>
      <w:r w:rsidRPr="0036231F">
        <w:rPr>
          <w:b/>
          <w:color w:val="365F91"/>
          <w:sz w:val="22"/>
          <w:szCs w:val="22"/>
          <w:lang w:val="en-GB" w:eastAsia="en-GB"/>
        </w:rPr>
        <w:t>Target 2:</w:t>
      </w:r>
      <w:r w:rsidRPr="0036231F">
        <w:rPr>
          <w:color w:val="365F91"/>
          <w:sz w:val="22"/>
          <w:szCs w:val="22"/>
          <w:lang w:val="en-GB" w:eastAsia="en-GB"/>
        </w:rPr>
        <w:t xml:space="preserve"> </w:t>
      </w:r>
    </w:p>
    <w:p w14:paraId="5E2ABDD2" w14:textId="77777777" w:rsidR="00CD50BF" w:rsidRDefault="00CD50BF" w:rsidP="00CD50BF">
      <w:pPr>
        <w:pStyle w:val="BodyText"/>
        <w:ind w:left="142"/>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 xml:space="preserve">ave 90% of year 1, 2, 3 and 4’ students reach “at” or “above” the national standard for their time at school or class level in mathematics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487"/>
        <w:gridCol w:w="1750"/>
        <w:gridCol w:w="1660"/>
        <w:gridCol w:w="1652"/>
      </w:tblGrid>
      <w:tr w:rsidR="00CD50BF" w14:paraId="2C30D6E6" w14:textId="77777777" w:rsidTr="00A95B0D">
        <w:tc>
          <w:tcPr>
            <w:tcW w:w="3122" w:type="dxa"/>
            <w:shd w:val="clear" w:color="auto" w:fill="auto"/>
          </w:tcPr>
          <w:p w14:paraId="28C10612"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2014 EOY Results</w:t>
            </w:r>
          </w:p>
        </w:tc>
        <w:tc>
          <w:tcPr>
            <w:tcW w:w="3123" w:type="dxa"/>
            <w:shd w:val="clear" w:color="auto" w:fill="auto"/>
          </w:tcPr>
          <w:p w14:paraId="10129FC8"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At %</w:t>
            </w:r>
          </w:p>
        </w:tc>
        <w:tc>
          <w:tcPr>
            <w:tcW w:w="3123" w:type="dxa"/>
            <w:shd w:val="clear" w:color="auto" w:fill="auto"/>
          </w:tcPr>
          <w:p w14:paraId="35887AD2"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Above %</w:t>
            </w:r>
          </w:p>
        </w:tc>
        <w:tc>
          <w:tcPr>
            <w:tcW w:w="3123" w:type="dxa"/>
            <w:shd w:val="clear" w:color="auto" w:fill="auto"/>
          </w:tcPr>
          <w:p w14:paraId="4FDCA8D9"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Total %</w:t>
            </w:r>
          </w:p>
        </w:tc>
        <w:tc>
          <w:tcPr>
            <w:tcW w:w="3123" w:type="dxa"/>
            <w:shd w:val="clear" w:color="auto" w:fill="auto"/>
          </w:tcPr>
          <w:p w14:paraId="5F466F83"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Met/ not met</w:t>
            </w:r>
          </w:p>
        </w:tc>
      </w:tr>
      <w:tr w:rsidR="00CD50BF" w14:paraId="5F9F6271" w14:textId="77777777" w:rsidTr="00A95B0D">
        <w:tc>
          <w:tcPr>
            <w:tcW w:w="3122" w:type="dxa"/>
            <w:shd w:val="clear" w:color="auto" w:fill="auto"/>
          </w:tcPr>
          <w:p w14:paraId="68B0F504"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Year 1</w:t>
            </w:r>
          </w:p>
        </w:tc>
        <w:tc>
          <w:tcPr>
            <w:tcW w:w="3123" w:type="dxa"/>
            <w:shd w:val="clear" w:color="auto" w:fill="auto"/>
          </w:tcPr>
          <w:p w14:paraId="67B494E2" w14:textId="77777777" w:rsidR="00CD50BF" w:rsidRPr="00D025E8" w:rsidRDefault="00CD50BF" w:rsidP="00A95B0D">
            <w:pPr>
              <w:pStyle w:val="BodyText"/>
              <w:rPr>
                <w:sz w:val="22"/>
                <w:szCs w:val="22"/>
                <w:lang w:val="en-GB" w:eastAsia="en-GB"/>
              </w:rPr>
            </w:pPr>
            <w:r w:rsidRPr="00D025E8">
              <w:rPr>
                <w:sz w:val="22"/>
                <w:szCs w:val="22"/>
                <w:lang w:val="en-GB" w:eastAsia="en-GB"/>
              </w:rPr>
              <w:t>58</w:t>
            </w:r>
          </w:p>
        </w:tc>
        <w:tc>
          <w:tcPr>
            <w:tcW w:w="3123" w:type="dxa"/>
            <w:shd w:val="clear" w:color="auto" w:fill="auto"/>
          </w:tcPr>
          <w:p w14:paraId="15C09AAA" w14:textId="77777777" w:rsidR="00CD50BF" w:rsidRPr="00D025E8" w:rsidRDefault="00CD50BF" w:rsidP="00A95B0D">
            <w:pPr>
              <w:pStyle w:val="BodyText"/>
              <w:rPr>
                <w:sz w:val="22"/>
                <w:szCs w:val="22"/>
                <w:lang w:val="en-GB" w:eastAsia="en-GB"/>
              </w:rPr>
            </w:pPr>
            <w:r w:rsidRPr="00D025E8">
              <w:rPr>
                <w:sz w:val="22"/>
                <w:szCs w:val="22"/>
                <w:lang w:val="en-GB" w:eastAsia="en-GB"/>
              </w:rPr>
              <w:t>28</w:t>
            </w:r>
          </w:p>
        </w:tc>
        <w:tc>
          <w:tcPr>
            <w:tcW w:w="3123" w:type="dxa"/>
            <w:shd w:val="clear" w:color="auto" w:fill="auto"/>
          </w:tcPr>
          <w:p w14:paraId="18FA2934" w14:textId="77777777" w:rsidR="00CD50BF" w:rsidRPr="00D025E8" w:rsidRDefault="00CD50BF" w:rsidP="00A95B0D">
            <w:pPr>
              <w:pStyle w:val="BodyText"/>
              <w:rPr>
                <w:sz w:val="22"/>
                <w:szCs w:val="22"/>
                <w:lang w:val="en-GB" w:eastAsia="en-GB"/>
              </w:rPr>
            </w:pPr>
            <w:r w:rsidRPr="00D025E8">
              <w:rPr>
                <w:sz w:val="22"/>
                <w:szCs w:val="22"/>
                <w:lang w:val="en-GB" w:eastAsia="en-GB"/>
              </w:rPr>
              <w:t>86</w:t>
            </w:r>
          </w:p>
        </w:tc>
        <w:tc>
          <w:tcPr>
            <w:tcW w:w="3123" w:type="dxa"/>
            <w:shd w:val="clear" w:color="auto" w:fill="auto"/>
          </w:tcPr>
          <w:p w14:paraId="500B6145" w14:textId="77777777" w:rsidR="00CD50BF" w:rsidRPr="00D025E8" w:rsidRDefault="00CD50BF" w:rsidP="00A95B0D">
            <w:pPr>
              <w:pStyle w:val="BodyText"/>
              <w:rPr>
                <w:sz w:val="22"/>
                <w:szCs w:val="22"/>
                <w:lang w:val="en-GB" w:eastAsia="en-GB"/>
              </w:rPr>
            </w:pPr>
            <w:r w:rsidRPr="00D025E8">
              <w:rPr>
                <w:sz w:val="22"/>
                <w:szCs w:val="22"/>
                <w:lang w:val="en-GB" w:eastAsia="en-GB"/>
              </w:rPr>
              <w:t>Not met (but close to)</w:t>
            </w:r>
          </w:p>
        </w:tc>
      </w:tr>
      <w:tr w:rsidR="00CD50BF" w14:paraId="5DE7B58A" w14:textId="77777777" w:rsidTr="00A95B0D">
        <w:tc>
          <w:tcPr>
            <w:tcW w:w="3122" w:type="dxa"/>
            <w:shd w:val="clear" w:color="auto" w:fill="auto"/>
          </w:tcPr>
          <w:p w14:paraId="009062BF"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Year 2</w:t>
            </w:r>
          </w:p>
        </w:tc>
        <w:tc>
          <w:tcPr>
            <w:tcW w:w="3123" w:type="dxa"/>
            <w:shd w:val="clear" w:color="auto" w:fill="auto"/>
          </w:tcPr>
          <w:p w14:paraId="3E28D6C2" w14:textId="77777777" w:rsidR="00CD50BF" w:rsidRPr="00D025E8" w:rsidRDefault="00CD50BF" w:rsidP="00A95B0D">
            <w:pPr>
              <w:pStyle w:val="BodyText"/>
              <w:rPr>
                <w:sz w:val="22"/>
                <w:szCs w:val="22"/>
                <w:lang w:val="en-GB" w:eastAsia="en-GB"/>
              </w:rPr>
            </w:pPr>
            <w:r>
              <w:rPr>
                <w:sz w:val="22"/>
                <w:szCs w:val="22"/>
                <w:lang w:val="en-GB" w:eastAsia="en-GB"/>
              </w:rPr>
              <w:t>60</w:t>
            </w:r>
          </w:p>
        </w:tc>
        <w:tc>
          <w:tcPr>
            <w:tcW w:w="3123" w:type="dxa"/>
            <w:shd w:val="clear" w:color="auto" w:fill="auto"/>
          </w:tcPr>
          <w:p w14:paraId="3FC3B21C" w14:textId="77777777" w:rsidR="00CD50BF" w:rsidRPr="00D025E8" w:rsidRDefault="00CD50BF" w:rsidP="00A95B0D">
            <w:pPr>
              <w:pStyle w:val="BodyText"/>
              <w:rPr>
                <w:sz w:val="22"/>
                <w:szCs w:val="22"/>
                <w:lang w:val="en-GB" w:eastAsia="en-GB"/>
              </w:rPr>
            </w:pPr>
            <w:r>
              <w:rPr>
                <w:sz w:val="22"/>
                <w:szCs w:val="22"/>
                <w:lang w:val="en-GB" w:eastAsia="en-GB"/>
              </w:rPr>
              <w:t>19</w:t>
            </w:r>
          </w:p>
        </w:tc>
        <w:tc>
          <w:tcPr>
            <w:tcW w:w="3123" w:type="dxa"/>
            <w:shd w:val="clear" w:color="auto" w:fill="auto"/>
          </w:tcPr>
          <w:p w14:paraId="5194B51C" w14:textId="77777777" w:rsidR="00CD50BF" w:rsidRPr="00D025E8" w:rsidRDefault="00CD50BF" w:rsidP="00A95B0D">
            <w:pPr>
              <w:pStyle w:val="BodyText"/>
              <w:rPr>
                <w:sz w:val="22"/>
                <w:szCs w:val="22"/>
                <w:lang w:val="en-GB" w:eastAsia="en-GB"/>
              </w:rPr>
            </w:pPr>
            <w:r>
              <w:rPr>
                <w:sz w:val="22"/>
                <w:szCs w:val="22"/>
                <w:lang w:val="en-GB" w:eastAsia="en-GB"/>
              </w:rPr>
              <w:t>79</w:t>
            </w:r>
          </w:p>
        </w:tc>
        <w:tc>
          <w:tcPr>
            <w:tcW w:w="3123" w:type="dxa"/>
            <w:shd w:val="clear" w:color="auto" w:fill="auto"/>
          </w:tcPr>
          <w:p w14:paraId="50F4E450" w14:textId="77777777" w:rsidR="00CD50BF" w:rsidRPr="00D025E8" w:rsidRDefault="00CD50BF" w:rsidP="00A95B0D">
            <w:pPr>
              <w:pStyle w:val="BodyText"/>
              <w:rPr>
                <w:sz w:val="22"/>
                <w:szCs w:val="22"/>
                <w:lang w:val="en-GB" w:eastAsia="en-GB"/>
              </w:rPr>
            </w:pPr>
            <w:r w:rsidRPr="00D025E8">
              <w:rPr>
                <w:sz w:val="22"/>
                <w:szCs w:val="22"/>
                <w:lang w:val="en-GB" w:eastAsia="en-GB"/>
              </w:rPr>
              <w:t>Not Met</w:t>
            </w:r>
          </w:p>
        </w:tc>
      </w:tr>
      <w:tr w:rsidR="00CD50BF" w14:paraId="35D3FEBD" w14:textId="77777777" w:rsidTr="00A95B0D">
        <w:tc>
          <w:tcPr>
            <w:tcW w:w="3122" w:type="dxa"/>
            <w:shd w:val="clear" w:color="auto" w:fill="auto"/>
          </w:tcPr>
          <w:p w14:paraId="1D2C5F3A"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Year 3</w:t>
            </w:r>
          </w:p>
        </w:tc>
        <w:tc>
          <w:tcPr>
            <w:tcW w:w="3123" w:type="dxa"/>
            <w:shd w:val="clear" w:color="auto" w:fill="auto"/>
          </w:tcPr>
          <w:p w14:paraId="4A4E03B8" w14:textId="77777777" w:rsidR="00CD50BF" w:rsidRPr="00D025E8" w:rsidRDefault="00CD50BF" w:rsidP="00A95B0D">
            <w:pPr>
              <w:pStyle w:val="BodyText"/>
              <w:rPr>
                <w:sz w:val="22"/>
                <w:szCs w:val="22"/>
                <w:lang w:val="en-GB" w:eastAsia="en-GB"/>
              </w:rPr>
            </w:pPr>
            <w:r w:rsidRPr="00D025E8">
              <w:rPr>
                <w:sz w:val="22"/>
                <w:szCs w:val="22"/>
                <w:lang w:val="en-GB" w:eastAsia="en-GB"/>
              </w:rPr>
              <w:t>72</w:t>
            </w:r>
          </w:p>
        </w:tc>
        <w:tc>
          <w:tcPr>
            <w:tcW w:w="3123" w:type="dxa"/>
            <w:shd w:val="clear" w:color="auto" w:fill="auto"/>
          </w:tcPr>
          <w:p w14:paraId="2DF186E8" w14:textId="77777777" w:rsidR="00CD50BF" w:rsidRPr="00D025E8" w:rsidRDefault="00CD50BF" w:rsidP="00A95B0D">
            <w:pPr>
              <w:pStyle w:val="BodyText"/>
              <w:rPr>
                <w:sz w:val="22"/>
                <w:szCs w:val="22"/>
                <w:lang w:val="en-GB" w:eastAsia="en-GB"/>
              </w:rPr>
            </w:pPr>
            <w:r w:rsidRPr="00D025E8">
              <w:rPr>
                <w:sz w:val="22"/>
                <w:szCs w:val="22"/>
                <w:lang w:val="en-GB" w:eastAsia="en-GB"/>
              </w:rPr>
              <w:t>22</w:t>
            </w:r>
          </w:p>
        </w:tc>
        <w:tc>
          <w:tcPr>
            <w:tcW w:w="3123" w:type="dxa"/>
            <w:shd w:val="clear" w:color="auto" w:fill="auto"/>
          </w:tcPr>
          <w:p w14:paraId="25D13CB0" w14:textId="77777777" w:rsidR="00CD50BF" w:rsidRPr="00D025E8" w:rsidRDefault="00CD50BF" w:rsidP="00A95B0D">
            <w:pPr>
              <w:pStyle w:val="BodyText"/>
              <w:rPr>
                <w:sz w:val="22"/>
                <w:szCs w:val="22"/>
                <w:lang w:val="en-GB" w:eastAsia="en-GB"/>
              </w:rPr>
            </w:pPr>
            <w:r w:rsidRPr="00D025E8">
              <w:rPr>
                <w:sz w:val="22"/>
                <w:szCs w:val="22"/>
                <w:lang w:val="en-GB" w:eastAsia="en-GB"/>
              </w:rPr>
              <w:t>94</w:t>
            </w:r>
          </w:p>
        </w:tc>
        <w:tc>
          <w:tcPr>
            <w:tcW w:w="3123" w:type="dxa"/>
            <w:shd w:val="clear" w:color="auto" w:fill="auto"/>
          </w:tcPr>
          <w:p w14:paraId="6711ED93" w14:textId="77777777" w:rsidR="00CD50BF" w:rsidRPr="00D025E8" w:rsidRDefault="00CD50BF" w:rsidP="00A95B0D">
            <w:pPr>
              <w:pStyle w:val="BodyText"/>
              <w:rPr>
                <w:sz w:val="22"/>
                <w:szCs w:val="22"/>
                <w:lang w:val="en-GB" w:eastAsia="en-GB"/>
              </w:rPr>
            </w:pPr>
            <w:r w:rsidRPr="00D025E8">
              <w:rPr>
                <w:sz w:val="22"/>
                <w:szCs w:val="22"/>
                <w:lang w:val="en-GB" w:eastAsia="en-GB"/>
              </w:rPr>
              <w:t xml:space="preserve">Met </w:t>
            </w:r>
          </w:p>
        </w:tc>
      </w:tr>
      <w:tr w:rsidR="00CD50BF" w14:paraId="6BEEC170" w14:textId="77777777" w:rsidTr="00A95B0D">
        <w:tc>
          <w:tcPr>
            <w:tcW w:w="3122" w:type="dxa"/>
            <w:shd w:val="clear" w:color="auto" w:fill="auto"/>
          </w:tcPr>
          <w:p w14:paraId="20E06670" w14:textId="77777777" w:rsidR="00CD50BF" w:rsidRPr="00217B71" w:rsidRDefault="00CD50BF" w:rsidP="00A95B0D">
            <w:pPr>
              <w:pStyle w:val="BodyText"/>
              <w:rPr>
                <w:b/>
                <w:color w:val="365F91"/>
                <w:sz w:val="22"/>
                <w:szCs w:val="22"/>
                <w:lang w:val="en-GB" w:eastAsia="en-GB"/>
              </w:rPr>
            </w:pPr>
            <w:r w:rsidRPr="00217B71">
              <w:rPr>
                <w:b/>
                <w:color w:val="365F91"/>
                <w:sz w:val="22"/>
                <w:szCs w:val="22"/>
                <w:lang w:val="en-GB" w:eastAsia="en-GB"/>
              </w:rPr>
              <w:t>Year 4</w:t>
            </w:r>
          </w:p>
        </w:tc>
        <w:tc>
          <w:tcPr>
            <w:tcW w:w="3123" w:type="dxa"/>
            <w:shd w:val="clear" w:color="auto" w:fill="auto"/>
          </w:tcPr>
          <w:p w14:paraId="5BC69EFE" w14:textId="77777777" w:rsidR="00CD50BF" w:rsidRPr="00D025E8" w:rsidRDefault="00CD50BF" w:rsidP="00A95B0D">
            <w:pPr>
              <w:pStyle w:val="BodyText"/>
              <w:rPr>
                <w:sz w:val="22"/>
                <w:szCs w:val="22"/>
                <w:lang w:val="en-GB" w:eastAsia="en-GB"/>
              </w:rPr>
            </w:pPr>
            <w:r w:rsidRPr="00D025E8">
              <w:rPr>
                <w:sz w:val="22"/>
                <w:szCs w:val="22"/>
                <w:lang w:val="en-GB" w:eastAsia="en-GB"/>
              </w:rPr>
              <w:t>36</w:t>
            </w:r>
          </w:p>
        </w:tc>
        <w:tc>
          <w:tcPr>
            <w:tcW w:w="3123" w:type="dxa"/>
            <w:shd w:val="clear" w:color="auto" w:fill="auto"/>
          </w:tcPr>
          <w:p w14:paraId="6DCE5AF9" w14:textId="77777777" w:rsidR="00CD50BF" w:rsidRPr="00D025E8" w:rsidRDefault="00CD50BF" w:rsidP="00A95B0D">
            <w:pPr>
              <w:pStyle w:val="BodyText"/>
              <w:rPr>
                <w:sz w:val="22"/>
                <w:szCs w:val="22"/>
                <w:lang w:val="en-GB" w:eastAsia="en-GB"/>
              </w:rPr>
            </w:pPr>
            <w:r w:rsidRPr="00D025E8">
              <w:rPr>
                <w:sz w:val="22"/>
                <w:szCs w:val="22"/>
                <w:lang w:val="en-GB" w:eastAsia="en-GB"/>
              </w:rPr>
              <w:t>59</w:t>
            </w:r>
          </w:p>
        </w:tc>
        <w:tc>
          <w:tcPr>
            <w:tcW w:w="3123" w:type="dxa"/>
            <w:shd w:val="clear" w:color="auto" w:fill="auto"/>
          </w:tcPr>
          <w:p w14:paraId="20850775" w14:textId="77777777" w:rsidR="00CD50BF" w:rsidRPr="00D025E8" w:rsidRDefault="00CD50BF" w:rsidP="00A95B0D">
            <w:pPr>
              <w:pStyle w:val="BodyText"/>
              <w:rPr>
                <w:sz w:val="22"/>
                <w:szCs w:val="22"/>
                <w:lang w:val="en-GB" w:eastAsia="en-GB"/>
              </w:rPr>
            </w:pPr>
            <w:r w:rsidRPr="00D025E8">
              <w:rPr>
                <w:sz w:val="22"/>
                <w:szCs w:val="22"/>
                <w:lang w:val="en-GB" w:eastAsia="en-GB"/>
              </w:rPr>
              <w:t>95</w:t>
            </w:r>
          </w:p>
        </w:tc>
        <w:tc>
          <w:tcPr>
            <w:tcW w:w="3123" w:type="dxa"/>
            <w:shd w:val="clear" w:color="auto" w:fill="auto"/>
          </w:tcPr>
          <w:p w14:paraId="2A7BD6DE" w14:textId="77777777" w:rsidR="00CD50BF" w:rsidRPr="00D025E8" w:rsidRDefault="00CD50BF" w:rsidP="00A95B0D">
            <w:pPr>
              <w:pStyle w:val="BodyText"/>
              <w:rPr>
                <w:sz w:val="22"/>
                <w:szCs w:val="22"/>
                <w:lang w:val="en-GB" w:eastAsia="en-GB"/>
              </w:rPr>
            </w:pPr>
            <w:r w:rsidRPr="00D025E8">
              <w:rPr>
                <w:sz w:val="22"/>
                <w:szCs w:val="22"/>
                <w:lang w:val="en-GB" w:eastAsia="en-GB"/>
              </w:rPr>
              <w:t>Met</w:t>
            </w:r>
          </w:p>
        </w:tc>
      </w:tr>
    </w:tbl>
    <w:p w14:paraId="417FC7C5" w14:textId="77777777" w:rsidR="00CD50BF" w:rsidRPr="0036231F" w:rsidRDefault="00CD50BF" w:rsidP="00CD50BF">
      <w:pPr>
        <w:pStyle w:val="BodyText"/>
        <w:ind w:left="142"/>
        <w:rPr>
          <w:color w:val="365F91"/>
          <w:sz w:val="22"/>
          <w:szCs w:val="22"/>
          <w:lang w:val="en-GB" w:eastAsia="en-GB"/>
        </w:rPr>
      </w:pPr>
    </w:p>
    <w:p w14:paraId="5E1FA190" w14:textId="77777777" w:rsidR="00CD50BF" w:rsidRDefault="00CD50BF" w:rsidP="00CD50BF">
      <w:pPr>
        <w:pStyle w:val="BodyText"/>
        <w:spacing w:before="0" w:after="0"/>
        <w:rPr>
          <w:color w:val="365F91"/>
          <w:sz w:val="22"/>
          <w:szCs w:val="22"/>
          <w:lang w:val="en-GB" w:eastAsia="en-GB"/>
        </w:rPr>
      </w:pPr>
      <w:r w:rsidRPr="0036231F">
        <w:rPr>
          <w:b/>
          <w:color w:val="365F91"/>
          <w:sz w:val="22"/>
          <w:szCs w:val="22"/>
          <w:lang w:val="en-GB" w:eastAsia="en-GB"/>
        </w:rPr>
        <w:t>Target 3:</w:t>
      </w:r>
      <w:r w:rsidRPr="0036231F">
        <w:rPr>
          <w:color w:val="365F91"/>
          <w:sz w:val="22"/>
          <w:szCs w:val="22"/>
          <w:lang w:val="en-GB" w:eastAsia="en-GB"/>
        </w:rPr>
        <w:t xml:space="preserve"> </w:t>
      </w:r>
    </w:p>
    <w:p w14:paraId="7E85F8B6" w14:textId="77777777" w:rsidR="00CD50BF" w:rsidRDefault="00CD50BF" w:rsidP="00CD50BF">
      <w:pPr>
        <w:pStyle w:val="BodyText"/>
        <w:spacing w:before="0" w:after="0"/>
        <w:ind w:left="142"/>
        <w:rPr>
          <w:sz w:val="22"/>
          <w:szCs w:val="22"/>
          <w:lang w:val="en-GB" w:eastAsia="en-GB"/>
        </w:rPr>
      </w:pPr>
      <w:r w:rsidRPr="007D1465">
        <w:rPr>
          <w:sz w:val="22"/>
          <w:szCs w:val="22"/>
          <w:lang w:val="en-GB" w:eastAsia="en-GB"/>
        </w:rPr>
        <w:t>Have Year 1 students reach end of stage 3 in numeracy after 40 weeks at school.</w:t>
      </w:r>
      <w:r>
        <w:rPr>
          <w:sz w:val="22"/>
          <w:szCs w:val="22"/>
          <w:lang w:val="en-GB" w:eastAsia="en-GB"/>
        </w:rPr>
        <w:t xml:space="preserve"> This target exceeds the national standard for Year 1’s after 40 weeks at school. We chose to have a higher standard at Year 1 in order to support year 2’s reach their standard after 80 weeks at school.</w:t>
      </w:r>
      <w:r w:rsidRPr="007D1465">
        <w:rPr>
          <w:sz w:val="22"/>
          <w:szCs w:val="22"/>
          <w:lang w:val="en-GB" w:eastAsia="en-GB"/>
        </w:rPr>
        <w:t xml:space="preserve"> </w:t>
      </w:r>
    </w:p>
    <w:p w14:paraId="74A3516E" w14:textId="77777777" w:rsidR="00CD50BF" w:rsidRDefault="00CD50BF" w:rsidP="00CD50BF">
      <w:pPr>
        <w:pStyle w:val="BodyText"/>
        <w:spacing w:before="0" w:after="0"/>
        <w:ind w:left="142"/>
        <w:rPr>
          <w:sz w:val="22"/>
          <w:szCs w:val="22"/>
          <w:lang w:val="en-GB" w:eastAsia="en-GB"/>
        </w:rPr>
      </w:pPr>
    </w:p>
    <w:p w14:paraId="3877D7C8" w14:textId="77777777" w:rsidR="00CD50BF" w:rsidRPr="007D1465" w:rsidRDefault="00CD50BF" w:rsidP="00CD50BF">
      <w:pPr>
        <w:pStyle w:val="BodyText"/>
        <w:spacing w:before="0" w:after="0"/>
        <w:rPr>
          <w:color w:val="365F91"/>
          <w:sz w:val="22"/>
          <w:szCs w:val="22"/>
          <w:lang w:val="en-GB" w:eastAsia="en-GB"/>
        </w:rPr>
      </w:pPr>
      <w:r w:rsidRPr="00217B71">
        <w:rPr>
          <w:b/>
          <w:color w:val="365F91"/>
          <w:sz w:val="22"/>
          <w:szCs w:val="22"/>
          <w:lang w:val="en-GB" w:eastAsia="en-GB"/>
        </w:rPr>
        <w:t>The results were</w:t>
      </w:r>
      <w:r w:rsidRPr="007D1465">
        <w:rPr>
          <w:sz w:val="22"/>
          <w:szCs w:val="22"/>
          <w:lang w:val="en-GB" w:eastAsia="en-GB"/>
        </w:rPr>
        <w:t>:</w:t>
      </w:r>
    </w:p>
    <w:p w14:paraId="689DE002" w14:textId="77777777" w:rsidR="00CD50BF" w:rsidRPr="00534164" w:rsidRDefault="00CD50BF" w:rsidP="00CD50BF">
      <w:pPr>
        <w:shd w:val="clear" w:color="auto" w:fill="FFFFFF"/>
        <w:ind w:firstLine="142"/>
        <w:rPr>
          <w:rFonts w:ascii="Arial" w:hAnsi="Arial" w:cs="Arial"/>
          <w:color w:val="000000"/>
          <w:lang w:eastAsia="en-NZ"/>
        </w:rPr>
      </w:pPr>
      <w:r w:rsidRPr="00534164">
        <w:rPr>
          <w:rFonts w:ascii="Arial" w:hAnsi="Arial" w:cs="Arial"/>
          <w:color w:val="000000"/>
          <w:lang w:eastAsia="en-NZ"/>
        </w:rPr>
        <w:t>Number of Year One children who have been at school for 40 weeks or more N. = 61</w:t>
      </w:r>
    </w:p>
    <w:p w14:paraId="0BA78A17" w14:textId="77777777" w:rsidR="00CD50BF" w:rsidRPr="00544E4C" w:rsidRDefault="00CD50BF" w:rsidP="00CD50BF">
      <w:pPr>
        <w:pStyle w:val="ListParagraph"/>
        <w:numPr>
          <w:ilvl w:val="0"/>
          <w:numId w:val="4"/>
        </w:numPr>
        <w:shd w:val="clear" w:color="auto" w:fill="FFFFFF"/>
        <w:spacing w:after="0" w:line="240" w:lineRule="auto"/>
        <w:contextualSpacing w:val="0"/>
        <w:rPr>
          <w:rFonts w:ascii="Arial" w:hAnsi="Arial" w:cs="Arial"/>
          <w:color w:val="000000"/>
          <w:lang w:eastAsia="en-NZ"/>
        </w:rPr>
      </w:pPr>
      <w:r w:rsidRPr="00544E4C">
        <w:rPr>
          <w:rFonts w:ascii="Arial" w:hAnsi="Arial" w:cs="Arial"/>
          <w:color w:val="000000"/>
          <w:lang w:eastAsia="en-NZ"/>
        </w:rPr>
        <w:t>Number who reached the target of Numeracy Stage 3 End or above:  N. = 38 (62%)</w:t>
      </w:r>
    </w:p>
    <w:p w14:paraId="35695445" w14:textId="77777777" w:rsidR="00CD50BF" w:rsidRPr="00544E4C" w:rsidRDefault="00CD50BF" w:rsidP="00CD50BF">
      <w:pPr>
        <w:pStyle w:val="ListParagraph"/>
        <w:numPr>
          <w:ilvl w:val="0"/>
          <w:numId w:val="4"/>
        </w:numPr>
        <w:shd w:val="clear" w:color="auto" w:fill="FFFFFF"/>
        <w:spacing w:after="0" w:line="240" w:lineRule="auto"/>
        <w:contextualSpacing w:val="0"/>
        <w:rPr>
          <w:rFonts w:ascii="Arial" w:hAnsi="Arial" w:cs="Arial"/>
          <w:color w:val="000000"/>
          <w:lang w:eastAsia="en-NZ"/>
        </w:rPr>
      </w:pPr>
      <w:r w:rsidRPr="00544E4C">
        <w:rPr>
          <w:rFonts w:ascii="Arial" w:hAnsi="Arial" w:cs="Arial"/>
          <w:color w:val="000000"/>
          <w:lang w:eastAsia="en-NZ"/>
        </w:rPr>
        <w:t>Number who did not reach the target of End of Stage 3: N. = 23 (38%)</w:t>
      </w:r>
    </w:p>
    <w:p w14:paraId="24D2B296" w14:textId="77777777" w:rsidR="00CD50BF" w:rsidRPr="00544E4C" w:rsidRDefault="00CD50BF" w:rsidP="00CD50BF">
      <w:pPr>
        <w:pStyle w:val="ListParagraph"/>
        <w:numPr>
          <w:ilvl w:val="0"/>
          <w:numId w:val="4"/>
        </w:numPr>
        <w:shd w:val="clear" w:color="auto" w:fill="FFFFFF"/>
        <w:spacing w:after="0" w:line="240" w:lineRule="auto"/>
        <w:contextualSpacing w:val="0"/>
        <w:rPr>
          <w:rFonts w:ascii="Arial" w:hAnsi="Arial" w:cs="Arial"/>
          <w:color w:val="000000"/>
          <w:lang w:eastAsia="en-NZ"/>
        </w:rPr>
      </w:pPr>
      <w:r w:rsidRPr="00544E4C">
        <w:rPr>
          <w:rFonts w:ascii="Arial" w:hAnsi="Arial" w:cs="Arial"/>
          <w:color w:val="000000"/>
          <w:lang w:eastAsia="en-NZ"/>
        </w:rPr>
        <w:t>Number who did not reach the end of Stage 3 but did achieve standard of Mid Stage 3: N. = 11 (18%)</w:t>
      </w:r>
    </w:p>
    <w:p w14:paraId="4219DDF6" w14:textId="77777777" w:rsidR="00CD50BF" w:rsidRPr="00544E4C" w:rsidRDefault="00CD50BF" w:rsidP="00CD50BF">
      <w:pPr>
        <w:pStyle w:val="ListParagraph"/>
        <w:numPr>
          <w:ilvl w:val="0"/>
          <w:numId w:val="4"/>
        </w:numPr>
        <w:shd w:val="clear" w:color="auto" w:fill="FFFFFF"/>
        <w:spacing w:after="0" w:line="240" w:lineRule="auto"/>
        <w:contextualSpacing w:val="0"/>
        <w:rPr>
          <w:rFonts w:ascii="Arial" w:hAnsi="Arial" w:cs="Arial"/>
          <w:color w:val="000000"/>
          <w:lang w:eastAsia="en-NZ"/>
        </w:rPr>
      </w:pPr>
      <w:r w:rsidRPr="00544E4C">
        <w:rPr>
          <w:rFonts w:ascii="Arial" w:hAnsi="Arial" w:cs="Arial"/>
          <w:color w:val="000000"/>
          <w:lang w:eastAsia="en-NZ"/>
        </w:rPr>
        <w:t>Number who reached Stage 3 Start (the actual national standard of 'at' for Year 1) = 10 (16%)</w:t>
      </w:r>
    </w:p>
    <w:p w14:paraId="75650C6B" w14:textId="77777777" w:rsidR="00CD50BF" w:rsidRDefault="00CD50BF" w:rsidP="00CD50BF">
      <w:pPr>
        <w:shd w:val="clear" w:color="auto" w:fill="FFFFFF"/>
        <w:rPr>
          <w:rFonts w:ascii="Arial" w:hAnsi="Arial" w:cs="Arial"/>
          <w:color w:val="000000"/>
          <w:lang w:eastAsia="en-NZ"/>
        </w:rPr>
      </w:pPr>
    </w:p>
    <w:p w14:paraId="409A4DD9" w14:textId="77777777" w:rsidR="00CD50BF" w:rsidRPr="00534164" w:rsidRDefault="00CD50BF" w:rsidP="00CD50BF">
      <w:pPr>
        <w:shd w:val="clear" w:color="auto" w:fill="FFFFFF"/>
        <w:rPr>
          <w:rFonts w:ascii="Arial" w:hAnsi="Arial" w:cs="Arial"/>
          <w:color w:val="000000"/>
          <w:lang w:eastAsia="en-NZ"/>
        </w:rPr>
      </w:pPr>
      <w:r w:rsidRPr="00534164">
        <w:rPr>
          <w:rFonts w:ascii="Arial" w:hAnsi="Arial" w:cs="Arial"/>
          <w:color w:val="000000"/>
          <w:lang w:eastAsia="en-NZ"/>
        </w:rPr>
        <w:t>Number who were below Stage 3 (the national standard) = 1 (2%)</w:t>
      </w:r>
    </w:p>
    <w:p w14:paraId="7AA943BD" w14:textId="77777777" w:rsidR="00CD50BF" w:rsidRPr="00534164" w:rsidRDefault="00CD50BF" w:rsidP="00CD50BF">
      <w:pPr>
        <w:shd w:val="clear" w:color="auto" w:fill="FFFFFF"/>
        <w:rPr>
          <w:rFonts w:ascii="Arial" w:hAnsi="Arial" w:cs="Arial"/>
          <w:color w:val="000000"/>
          <w:lang w:eastAsia="en-NZ"/>
        </w:rPr>
      </w:pPr>
      <w:r w:rsidRPr="00534164">
        <w:rPr>
          <w:rFonts w:ascii="Arial" w:hAnsi="Arial" w:cs="Arial"/>
          <w:color w:val="000000"/>
          <w:lang w:eastAsia="en-NZ"/>
        </w:rPr>
        <w:t>By setting a higher expectation at year 1 our aim was to improve the number of students reaching “at” or “above” the national standard for year 2 after 80 weeks at school. This will continue to be a goal for 2015</w:t>
      </w:r>
    </w:p>
    <w:p w14:paraId="4A98958E" w14:textId="77777777" w:rsidR="00CD50BF" w:rsidRPr="0036231F" w:rsidRDefault="00CD50BF" w:rsidP="00CD50BF">
      <w:pPr>
        <w:pStyle w:val="BodyText"/>
        <w:rPr>
          <w:color w:val="365F91"/>
          <w:sz w:val="22"/>
          <w:szCs w:val="22"/>
          <w:lang w:val="en-GB" w:eastAsia="en-GB"/>
        </w:rPr>
      </w:pPr>
      <w:r w:rsidRPr="0036231F">
        <w:rPr>
          <w:b/>
          <w:color w:val="365F91"/>
          <w:sz w:val="22"/>
          <w:szCs w:val="22"/>
          <w:highlight w:val="yellow"/>
          <w:lang w:val="en-GB" w:eastAsia="en-GB"/>
        </w:rPr>
        <w:t>Written language</w:t>
      </w:r>
    </w:p>
    <w:p w14:paraId="5AAE5801" w14:textId="77777777" w:rsidR="00CD50BF" w:rsidRDefault="00CD50BF" w:rsidP="00CD50BF">
      <w:pPr>
        <w:pStyle w:val="BodyText"/>
        <w:ind w:left="142"/>
        <w:rPr>
          <w:color w:val="365F91"/>
          <w:sz w:val="22"/>
          <w:szCs w:val="22"/>
          <w:lang w:val="en-GB" w:eastAsia="en-GB"/>
        </w:rPr>
      </w:pPr>
      <w:r>
        <w:rPr>
          <w:b/>
          <w:color w:val="365F91"/>
          <w:sz w:val="22"/>
          <w:szCs w:val="22"/>
          <w:lang w:val="en-GB" w:eastAsia="en-GB"/>
        </w:rPr>
        <w:t>Strategic</w:t>
      </w:r>
      <w:r w:rsidRPr="0036231F">
        <w:rPr>
          <w:b/>
          <w:color w:val="365F91"/>
          <w:sz w:val="22"/>
          <w:szCs w:val="22"/>
          <w:lang w:val="en-GB" w:eastAsia="en-GB"/>
        </w:rPr>
        <w:t xml:space="preserve"> Goal 2:</w:t>
      </w:r>
      <w:r w:rsidRPr="0036231F">
        <w:rPr>
          <w:color w:val="365F91"/>
          <w:sz w:val="22"/>
          <w:szCs w:val="22"/>
          <w:lang w:val="en-GB" w:eastAsia="en-GB"/>
        </w:rPr>
        <w:t xml:space="preserve"> </w:t>
      </w:r>
    </w:p>
    <w:p w14:paraId="6D72FC05" w14:textId="77777777" w:rsidR="00CD50BF" w:rsidRPr="0036231F" w:rsidRDefault="00CD50BF" w:rsidP="00CD50BF">
      <w:pPr>
        <w:pStyle w:val="BodyText"/>
        <w:ind w:left="142"/>
        <w:rPr>
          <w:color w:val="365F91"/>
          <w:sz w:val="22"/>
          <w:szCs w:val="22"/>
          <w:lang w:val="en-GB" w:eastAsia="en-GB"/>
        </w:rPr>
      </w:pPr>
      <w:r w:rsidRPr="0036231F">
        <w:rPr>
          <w:color w:val="365F91"/>
          <w:sz w:val="22"/>
          <w:szCs w:val="22"/>
          <w:lang w:val="en-GB" w:eastAsia="en-GB"/>
        </w:rPr>
        <w:t>Continue the improvement happening in Written Language since 2011</w:t>
      </w:r>
    </w:p>
    <w:p w14:paraId="6F3B4DF7" w14:textId="77777777" w:rsidR="00CD50BF" w:rsidRDefault="00CD50BF" w:rsidP="00CD50BF">
      <w:pPr>
        <w:pStyle w:val="BodyText"/>
        <w:ind w:left="142"/>
        <w:rPr>
          <w:color w:val="365F91"/>
          <w:sz w:val="22"/>
          <w:szCs w:val="22"/>
          <w:lang w:val="en-GB" w:eastAsia="en-GB"/>
        </w:rPr>
      </w:pPr>
      <w:r w:rsidRPr="0036231F">
        <w:rPr>
          <w:color w:val="365F91"/>
          <w:sz w:val="22"/>
          <w:szCs w:val="22"/>
          <w:lang w:val="en-GB" w:eastAsia="en-GB"/>
        </w:rPr>
        <w:t xml:space="preserve">2013 results showed that Years 2, </w:t>
      </w:r>
      <w:r w:rsidRPr="000B1FC1">
        <w:rPr>
          <w:color w:val="365F91"/>
          <w:sz w:val="22"/>
          <w:szCs w:val="22"/>
          <w:highlight w:val="yellow"/>
          <w:lang w:val="en-GB" w:eastAsia="en-GB"/>
        </w:rPr>
        <w:t>3</w:t>
      </w:r>
      <w:r w:rsidRPr="0036231F">
        <w:rPr>
          <w:color w:val="365F91"/>
          <w:sz w:val="22"/>
          <w:szCs w:val="22"/>
          <w:lang w:val="en-GB" w:eastAsia="en-GB"/>
        </w:rPr>
        <w:t xml:space="preserve">, 5 and </w:t>
      </w:r>
      <w:r w:rsidRPr="000B1FC1">
        <w:rPr>
          <w:color w:val="365F91"/>
          <w:sz w:val="22"/>
          <w:szCs w:val="22"/>
          <w:highlight w:val="yellow"/>
          <w:lang w:val="en-GB" w:eastAsia="en-GB"/>
        </w:rPr>
        <w:t>7</w:t>
      </w:r>
      <w:r w:rsidRPr="0036231F">
        <w:rPr>
          <w:color w:val="365F91"/>
          <w:sz w:val="22"/>
          <w:szCs w:val="22"/>
          <w:lang w:val="en-GB" w:eastAsia="en-GB"/>
        </w:rPr>
        <w:t xml:space="preserve"> had below 80% achieving at or above the national standard.</w:t>
      </w:r>
    </w:p>
    <w:p w14:paraId="512AEA33" w14:textId="77777777" w:rsidR="00CD50BF" w:rsidRDefault="00CD50BF" w:rsidP="00CD50BF">
      <w:pPr>
        <w:pStyle w:val="BodyText"/>
        <w:ind w:left="142"/>
        <w:rPr>
          <w:b/>
          <w:color w:val="365F91"/>
          <w:sz w:val="22"/>
          <w:szCs w:val="22"/>
          <w:lang w:val="en-GB" w:eastAsia="en-GB"/>
        </w:rPr>
      </w:pPr>
    </w:p>
    <w:p w14:paraId="76678EE6" w14:textId="77777777" w:rsidR="00CD50BF" w:rsidRDefault="00CD50BF" w:rsidP="00CD50BF">
      <w:pPr>
        <w:pStyle w:val="BodyText"/>
        <w:ind w:left="142"/>
        <w:rPr>
          <w:b/>
          <w:color w:val="365F91"/>
          <w:sz w:val="22"/>
          <w:szCs w:val="22"/>
          <w:lang w:val="en-GB" w:eastAsia="en-GB"/>
        </w:rPr>
      </w:pPr>
      <w:r w:rsidRPr="00217B71">
        <w:rPr>
          <w:b/>
          <w:color w:val="365F91"/>
          <w:sz w:val="22"/>
          <w:szCs w:val="22"/>
          <w:lang w:val="en-GB" w:eastAsia="en-GB"/>
        </w:rPr>
        <w:t xml:space="preserve">Result: </w:t>
      </w:r>
    </w:p>
    <w:p w14:paraId="7DE20EBA" w14:textId="77777777" w:rsidR="00CD50BF" w:rsidRPr="008B3B3A" w:rsidRDefault="00CD50BF" w:rsidP="00CD50BF">
      <w:pPr>
        <w:pStyle w:val="BodyText"/>
        <w:ind w:left="142"/>
        <w:rPr>
          <w:b/>
          <w:color w:val="365F91"/>
          <w:sz w:val="22"/>
          <w:szCs w:val="22"/>
          <w:lang w:val="en-GB" w:eastAsia="en-GB"/>
        </w:rPr>
      </w:pPr>
      <w:r w:rsidRPr="0002408B">
        <w:rPr>
          <w:sz w:val="22"/>
          <w:szCs w:val="22"/>
          <w:lang w:val="en-GB" w:eastAsia="en-GB"/>
        </w:rPr>
        <w:t>In 2014 88% of all students across the school were “at” or “above” the national standard for their class level or time at school. This is a 7% improvement of 2013 results</w:t>
      </w:r>
      <w:r>
        <w:rPr>
          <w:sz w:val="22"/>
          <w:szCs w:val="22"/>
          <w:lang w:val="en-GB" w:eastAsia="en-GB"/>
        </w:rPr>
        <w:t xml:space="preserve"> and 2% better than the 85% aimed for</w:t>
      </w:r>
      <w:r w:rsidRPr="0002408B">
        <w:rPr>
          <w:sz w:val="22"/>
          <w:szCs w:val="22"/>
          <w:lang w:val="en-GB" w:eastAsia="en-GB"/>
        </w:rPr>
        <w:t>. This target was met.</w:t>
      </w:r>
    </w:p>
    <w:p w14:paraId="645BFB77" w14:textId="77777777" w:rsidR="00CD50BF" w:rsidRDefault="00CD50BF" w:rsidP="00CD50BF">
      <w:pPr>
        <w:pStyle w:val="BodyText"/>
        <w:ind w:left="142"/>
        <w:rPr>
          <w:sz w:val="22"/>
          <w:szCs w:val="22"/>
          <w:lang w:val="en-GB" w:eastAsia="en-GB"/>
        </w:rPr>
      </w:pPr>
      <w:r w:rsidRPr="0002408B">
        <w:rPr>
          <w:sz w:val="22"/>
          <w:szCs w:val="22"/>
          <w:lang w:val="en-GB" w:eastAsia="en-GB"/>
        </w:rPr>
        <w:t xml:space="preserve">Below are the 2014 results broken down by year </w:t>
      </w:r>
      <w:r>
        <w:rPr>
          <w:sz w:val="22"/>
          <w:szCs w:val="22"/>
          <w:lang w:val="en-GB" w:eastAsia="en-GB"/>
        </w:rPr>
        <w:t>levels. Those year levels highlighted in yellow had less than 85% achieving “at” or “above” the NS</w:t>
      </w:r>
    </w:p>
    <w:p w14:paraId="37CAF4D9" w14:textId="77777777" w:rsidR="00CD50BF" w:rsidRPr="0002408B" w:rsidRDefault="00CD50BF" w:rsidP="00CD50BF">
      <w:pPr>
        <w:pStyle w:val="BodyText"/>
        <w:rPr>
          <w:sz w:val="22"/>
          <w:szCs w:val="22"/>
          <w:lang w:val="en-GB" w:eastAsia="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034"/>
        <w:gridCol w:w="714"/>
        <w:gridCol w:w="1233"/>
        <w:gridCol w:w="1013"/>
        <w:gridCol w:w="1014"/>
        <w:gridCol w:w="1179"/>
        <w:gridCol w:w="1400"/>
      </w:tblGrid>
      <w:tr w:rsidR="00CD50BF" w:rsidRPr="0002408B" w14:paraId="0B177884" w14:textId="77777777" w:rsidTr="00A95B0D">
        <w:tc>
          <w:tcPr>
            <w:tcW w:w="1242" w:type="dxa"/>
            <w:shd w:val="clear" w:color="auto" w:fill="auto"/>
          </w:tcPr>
          <w:p w14:paraId="002002E6"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Year level</w:t>
            </w:r>
          </w:p>
        </w:tc>
        <w:tc>
          <w:tcPr>
            <w:tcW w:w="1843" w:type="dxa"/>
            <w:shd w:val="clear" w:color="auto" w:fill="auto"/>
          </w:tcPr>
          <w:p w14:paraId="671BF1C4"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Above</w:t>
            </w:r>
          </w:p>
          <w:p w14:paraId="3616DF98"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w:t>
            </w:r>
          </w:p>
        </w:tc>
        <w:tc>
          <w:tcPr>
            <w:tcW w:w="2126" w:type="dxa"/>
            <w:shd w:val="clear" w:color="auto" w:fill="auto"/>
          </w:tcPr>
          <w:p w14:paraId="268CA7F5"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At</w:t>
            </w:r>
          </w:p>
          <w:p w14:paraId="7D141E65"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w:t>
            </w:r>
          </w:p>
        </w:tc>
        <w:tc>
          <w:tcPr>
            <w:tcW w:w="2126" w:type="dxa"/>
            <w:shd w:val="clear" w:color="auto" w:fill="auto"/>
          </w:tcPr>
          <w:p w14:paraId="07DEF1F8"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Total of “at” and “above”</w:t>
            </w:r>
          </w:p>
          <w:p w14:paraId="0EF57284"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w:t>
            </w:r>
          </w:p>
        </w:tc>
        <w:tc>
          <w:tcPr>
            <w:tcW w:w="1843" w:type="dxa"/>
            <w:shd w:val="clear" w:color="auto" w:fill="auto"/>
          </w:tcPr>
          <w:p w14:paraId="7936E700"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Below</w:t>
            </w:r>
          </w:p>
          <w:p w14:paraId="4A48DBEB"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w:t>
            </w:r>
          </w:p>
        </w:tc>
        <w:tc>
          <w:tcPr>
            <w:tcW w:w="1985" w:type="dxa"/>
            <w:shd w:val="clear" w:color="auto" w:fill="auto"/>
          </w:tcPr>
          <w:p w14:paraId="68299605" w14:textId="77777777" w:rsidR="00CD50BF" w:rsidRPr="00D025E8" w:rsidRDefault="00CD50BF" w:rsidP="00A95B0D">
            <w:pPr>
              <w:pStyle w:val="BodyText"/>
              <w:jc w:val="center"/>
              <w:rPr>
                <w:b/>
                <w:color w:val="0000CC"/>
                <w:sz w:val="22"/>
                <w:szCs w:val="22"/>
                <w:lang w:val="en-GB" w:eastAsia="en-GB"/>
              </w:rPr>
            </w:pPr>
            <w:proofErr w:type="gramStart"/>
            <w:r w:rsidRPr="00D025E8">
              <w:rPr>
                <w:b/>
                <w:color w:val="0000CC"/>
                <w:sz w:val="22"/>
                <w:szCs w:val="22"/>
                <w:lang w:val="en-GB" w:eastAsia="en-GB"/>
              </w:rPr>
              <w:t>well</w:t>
            </w:r>
            <w:proofErr w:type="gramEnd"/>
            <w:r w:rsidRPr="00D025E8">
              <w:rPr>
                <w:b/>
                <w:color w:val="0000CC"/>
                <w:sz w:val="22"/>
                <w:szCs w:val="22"/>
                <w:lang w:val="en-GB" w:eastAsia="en-GB"/>
              </w:rPr>
              <w:t xml:space="preserve"> below</w:t>
            </w:r>
          </w:p>
          <w:p w14:paraId="1E6D1AE1"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w:t>
            </w:r>
          </w:p>
        </w:tc>
        <w:tc>
          <w:tcPr>
            <w:tcW w:w="1842" w:type="dxa"/>
            <w:shd w:val="clear" w:color="auto" w:fill="auto"/>
          </w:tcPr>
          <w:p w14:paraId="5AACF424"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Total of “below” and “well below”</w:t>
            </w:r>
          </w:p>
          <w:p w14:paraId="381EF114"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w:t>
            </w:r>
          </w:p>
        </w:tc>
        <w:tc>
          <w:tcPr>
            <w:tcW w:w="2268" w:type="dxa"/>
            <w:shd w:val="clear" w:color="auto" w:fill="auto"/>
          </w:tcPr>
          <w:p w14:paraId="16136A9A"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Comment</w:t>
            </w:r>
          </w:p>
          <w:p w14:paraId="01ED63BA" w14:textId="77777777" w:rsidR="00CD50BF" w:rsidRPr="00D025E8" w:rsidRDefault="00CD50BF" w:rsidP="00A95B0D">
            <w:pPr>
              <w:pStyle w:val="BodyText"/>
              <w:rPr>
                <w:b/>
                <w:color w:val="0000CC"/>
                <w:sz w:val="22"/>
                <w:szCs w:val="22"/>
                <w:lang w:val="en-GB" w:eastAsia="en-GB"/>
              </w:rPr>
            </w:pPr>
            <w:r w:rsidRPr="00D025E8">
              <w:rPr>
                <w:b/>
                <w:color w:val="0000CC"/>
                <w:sz w:val="22"/>
                <w:szCs w:val="22"/>
                <w:lang w:val="en-GB" w:eastAsia="en-GB"/>
              </w:rPr>
              <w:t>Was this year level 85% or more at or above the NS</w:t>
            </w:r>
          </w:p>
        </w:tc>
      </w:tr>
      <w:tr w:rsidR="00CD50BF" w:rsidRPr="0002408B" w14:paraId="24C8D5A2" w14:textId="77777777" w:rsidTr="00A95B0D">
        <w:tc>
          <w:tcPr>
            <w:tcW w:w="1242" w:type="dxa"/>
            <w:shd w:val="clear" w:color="auto" w:fill="auto"/>
          </w:tcPr>
          <w:p w14:paraId="1E771E4C"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1</w:t>
            </w:r>
          </w:p>
        </w:tc>
        <w:tc>
          <w:tcPr>
            <w:tcW w:w="1843" w:type="dxa"/>
            <w:shd w:val="clear" w:color="auto" w:fill="auto"/>
          </w:tcPr>
          <w:p w14:paraId="5AD218DF"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14</w:t>
            </w:r>
          </w:p>
        </w:tc>
        <w:tc>
          <w:tcPr>
            <w:tcW w:w="2126" w:type="dxa"/>
            <w:shd w:val="clear" w:color="auto" w:fill="auto"/>
          </w:tcPr>
          <w:p w14:paraId="49111AB6"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76</w:t>
            </w:r>
          </w:p>
        </w:tc>
        <w:tc>
          <w:tcPr>
            <w:tcW w:w="2126" w:type="dxa"/>
            <w:shd w:val="clear" w:color="auto" w:fill="auto"/>
          </w:tcPr>
          <w:p w14:paraId="303A854B"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90</w:t>
            </w:r>
          </w:p>
        </w:tc>
        <w:tc>
          <w:tcPr>
            <w:tcW w:w="1843" w:type="dxa"/>
            <w:shd w:val="clear" w:color="auto" w:fill="auto"/>
          </w:tcPr>
          <w:p w14:paraId="50186B88"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10</w:t>
            </w:r>
          </w:p>
        </w:tc>
        <w:tc>
          <w:tcPr>
            <w:tcW w:w="1985" w:type="dxa"/>
            <w:shd w:val="clear" w:color="auto" w:fill="auto"/>
          </w:tcPr>
          <w:p w14:paraId="53E21FB7"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0</w:t>
            </w:r>
          </w:p>
        </w:tc>
        <w:tc>
          <w:tcPr>
            <w:tcW w:w="1842" w:type="dxa"/>
            <w:shd w:val="clear" w:color="auto" w:fill="auto"/>
          </w:tcPr>
          <w:p w14:paraId="24E78B1F"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10</w:t>
            </w:r>
          </w:p>
        </w:tc>
        <w:tc>
          <w:tcPr>
            <w:tcW w:w="2268" w:type="dxa"/>
            <w:shd w:val="clear" w:color="auto" w:fill="auto"/>
          </w:tcPr>
          <w:p w14:paraId="61D0DD5B" w14:textId="77777777" w:rsidR="00CD50BF" w:rsidRPr="00D025E8" w:rsidRDefault="00CD50BF" w:rsidP="00A95B0D">
            <w:pPr>
              <w:pStyle w:val="BodyText"/>
              <w:rPr>
                <w:sz w:val="22"/>
                <w:szCs w:val="22"/>
                <w:lang w:val="en-GB" w:eastAsia="en-GB"/>
              </w:rPr>
            </w:pPr>
            <w:r w:rsidRPr="00D025E8">
              <w:rPr>
                <w:b/>
                <w:sz w:val="22"/>
                <w:szCs w:val="22"/>
                <w:lang w:val="en-GB" w:eastAsia="en-GB"/>
              </w:rPr>
              <w:t>Yes</w:t>
            </w:r>
            <w:r w:rsidRPr="00D025E8">
              <w:rPr>
                <w:sz w:val="22"/>
                <w:szCs w:val="22"/>
                <w:lang w:val="en-GB" w:eastAsia="en-GB"/>
              </w:rPr>
              <w:t xml:space="preserve"> (exceeded target by 5%)</w:t>
            </w:r>
          </w:p>
        </w:tc>
      </w:tr>
      <w:tr w:rsidR="00CD50BF" w:rsidRPr="0002408B" w14:paraId="5BDE4FEF" w14:textId="77777777" w:rsidTr="00A95B0D">
        <w:tc>
          <w:tcPr>
            <w:tcW w:w="1242" w:type="dxa"/>
            <w:shd w:val="clear" w:color="auto" w:fill="auto"/>
          </w:tcPr>
          <w:p w14:paraId="47B87F11"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2</w:t>
            </w:r>
          </w:p>
        </w:tc>
        <w:tc>
          <w:tcPr>
            <w:tcW w:w="1843" w:type="dxa"/>
            <w:shd w:val="clear" w:color="auto" w:fill="auto"/>
          </w:tcPr>
          <w:p w14:paraId="0BEF9981"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13</w:t>
            </w:r>
          </w:p>
        </w:tc>
        <w:tc>
          <w:tcPr>
            <w:tcW w:w="2126" w:type="dxa"/>
            <w:shd w:val="clear" w:color="auto" w:fill="auto"/>
          </w:tcPr>
          <w:p w14:paraId="01E093AD"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77</w:t>
            </w:r>
          </w:p>
        </w:tc>
        <w:tc>
          <w:tcPr>
            <w:tcW w:w="2126" w:type="dxa"/>
            <w:shd w:val="clear" w:color="auto" w:fill="auto"/>
          </w:tcPr>
          <w:p w14:paraId="1F8E14F6"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90</w:t>
            </w:r>
          </w:p>
        </w:tc>
        <w:tc>
          <w:tcPr>
            <w:tcW w:w="1843" w:type="dxa"/>
            <w:shd w:val="clear" w:color="auto" w:fill="auto"/>
          </w:tcPr>
          <w:p w14:paraId="28C6F54A"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8</w:t>
            </w:r>
          </w:p>
        </w:tc>
        <w:tc>
          <w:tcPr>
            <w:tcW w:w="1985" w:type="dxa"/>
            <w:shd w:val="clear" w:color="auto" w:fill="auto"/>
          </w:tcPr>
          <w:p w14:paraId="73BCF325"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2</w:t>
            </w:r>
          </w:p>
        </w:tc>
        <w:tc>
          <w:tcPr>
            <w:tcW w:w="1842" w:type="dxa"/>
            <w:shd w:val="clear" w:color="auto" w:fill="auto"/>
          </w:tcPr>
          <w:p w14:paraId="32C8B56C"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10</w:t>
            </w:r>
          </w:p>
        </w:tc>
        <w:tc>
          <w:tcPr>
            <w:tcW w:w="2268" w:type="dxa"/>
            <w:shd w:val="clear" w:color="auto" w:fill="auto"/>
          </w:tcPr>
          <w:p w14:paraId="58E4C820" w14:textId="77777777" w:rsidR="00CD50BF" w:rsidRPr="00D025E8" w:rsidRDefault="00CD50BF" w:rsidP="00A95B0D">
            <w:pPr>
              <w:pStyle w:val="BodyText"/>
              <w:rPr>
                <w:sz w:val="22"/>
                <w:szCs w:val="22"/>
                <w:lang w:val="en-GB" w:eastAsia="en-GB"/>
              </w:rPr>
            </w:pPr>
            <w:r w:rsidRPr="00D025E8">
              <w:rPr>
                <w:b/>
                <w:sz w:val="22"/>
                <w:szCs w:val="22"/>
                <w:lang w:val="en-GB" w:eastAsia="en-GB"/>
              </w:rPr>
              <w:t>Yes</w:t>
            </w:r>
            <w:r w:rsidRPr="00D025E8">
              <w:rPr>
                <w:sz w:val="22"/>
                <w:szCs w:val="22"/>
                <w:lang w:val="en-GB" w:eastAsia="en-GB"/>
              </w:rPr>
              <w:t xml:space="preserve"> (exceeded target by 5%)</w:t>
            </w:r>
          </w:p>
        </w:tc>
      </w:tr>
      <w:tr w:rsidR="00CD50BF" w:rsidRPr="0002408B" w14:paraId="58838F17" w14:textId="77777777" w:rsidTr="00A95B0D">
        <w:tc>
          <w:tcPr>
            <w:tcW w:w="1242" w:type="dxa"/>
            <w:shd w:val="clear" w:color="auto" w:fill="auto"/>
          </w:tcPr>
          <w:p w14:paraId="7AAD7BA2" w14:textId="77777777" w:rsidR="00CD50BF" w:rsidRPr="00D025E8" w:rsidRDefault="00CD50BF" w:rsidP="00A95B0D">
            <w:pPr>
              <w:pStyle w:val="BodyText"/>
              <w:jc w:val="center"/>
              <w:rPr>
                <w:b/>
                <w:color w:val="0000CC"/>
                <w:sz w:val="22"/>
                <w:szCs w:val="22"/>
                <w:highlight w:val="yellow"/>
                <w:lang w:val="en-GB" w:eastAsia="en-GB"/>
              </w:rPr>
            </w:pPr>
            <w:r w:rsidRPr="00D025E8">
              <w:rPr>
                <w:b/>
                <w:color w:val="0000CC"/>
                <w:sz w:val="22"/>
                <w:szCs w:val="22"/>
                <w:highlight w:val="yellow"/>
                <w:lang w:val="en-GB" w:eastAsia="en-GB"/>
              </w:rPr>
              <w:t>3</w:t>
            </w:r>
          </w:p>
        </w:tc>
        <w:tc>
          <w:tcPr>
            <w:tcW w:w="1843" w:type="dxa"/>
            <w:shd w:val="clear" w:color="auto" w:fill="auto"/>
          </w:tcPr>
          <w:p w14:paraId="6C6CE0B2"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30</w:t>
            </w:r>
          </w:p>
        </w:tc>
        <w:tc>
          <w:tcPr>
            <w:tcW w:w="2126" w:type="dxa"/>
            <w:shd w:val="clear" w:color="auto" w:fill="auto"/>
          </w:tcPr>
          <w:p w14:paraId="27F50DC4"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44</w:t>
            </w:r>
          </w:p>
        </w:tc>
        <w:tc>
          <w:tcPr>
            <w:tcW w:w="2126" w:type="dxa"/>
            <w:shd w:val="clear" w:color="auto" w:fill="auto"/>
          </w:tcPr>
          <w:p w14:paraId="7F1DF0D7"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74</w:t>
            </w:r>
          </w:p>
        </w:tc>
        <w:tc>
          <w:tcPr>
            <w:tcW w:w="1843" w:type="dxa"/>
            <w:shd w:val="clear" w:color="auto" w:fill="auto"/>
          </w:tcPr>
          <w:p w14:paraId="3AAD63BD"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26</w:t>
            </w:r>
          </w:p>
        </w:tc>
        <w:tc>
          <w:tcPr>
            <w:tcW w:w="1985" w:type="dxa"/>
            <w:shd w:val="clear" w:color="auto" w:fill="auto"/>
          </w:tcPr>
          <w:p w14:paraId="28D81869"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0</w:t>
            </w:r>
          </w:p>
        </w:tc>
        <w:tc>
          <w:tcPr>
            <w:tcW w:w="1842" w:type="dxa"/>
            <w:shd w:val="clear" w:color="auto" w:fill="auto"/>
          </w:tcPr>
          <w:p w14:paraId="052D4A51"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26</w:t>
            </w:r>
          </w:p>
        </w:tc>
        <w:tc>
          <w:tcPr>
            <w:tcW w:w="2268" w:type="dxa"/>
            <w:shd w:val="clear" w:color="auto" w:fill="auto"/>
          </w:tcPr>
          <w:p w14:paraId="3588B48F" w14:textId="77777777" w:rsidR="00CD50BF" w:rsidRPr="00D025E8" w:rsidRDefault="00CD50BF" w:rsidP="00A95B0D">
            <w:pPr>
              <w:pStyle w:val="BodyText"/>
              <w:rPr>
                <w:sz w:val="22"/>
                <w:szCs w:val="22"/>
                <w:highlight w:val="yellow"/>
                <w:lang w:val="en-GB" w:eastAsia="en-GB"/>
              </w:rPr>
            </w:pPr>
            <w:r w:rsidRPr="00D025E8">
              <w:rPr>
                <w:b/>
                <w:sz w:val="22"/>
                <w:szCs w:val="22"/>
                <w:highlight w:val="yellow"/>
                <w:lang w:val="en-GB" w:eastAsia="en-GB"/>
              </w:rPr>
              <w:t>No</w:t>
            </w:r>
            <w:r w:rsidRPr="00D025E8">
              <w:rPr>
                <w:sz w:val="22"/>
                <w:szCs w:val="22"/>
                <w:highlight w:val="yellow"/>
                <w:lang w:val="en-GB" w:eastAsia="en-GB"/>
              </w:rPr>
              <w:t xml:space="preserve"> </w:t>
            </w:r>
          </w:p>
        </w:tc>
      </w:tr>
      <w:tr w:rsidR="00CD50BF" w:rsidRPr="0002408B" w14:paraId="21C03C3B" w14:textId="77777777" w:rsidTr="00A95B0D">
        <w:tc>
          <w:tcPr>
            <w:tcW w:w="1242" w:type="dxa"/>
            <w:shd w:val="clear" w:color="auto" w:fill="auto"/>
          </w:tcPr>
          <w:p w14:paraId="4A154796"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4</w:t>
            </w:r>
          </w:p>
        </w:tc>
        <w:tc>
          <w:tcPr>
            <w:tcW w:w="1843" w:type="dxa"/>
            <w:shd w:val="clear" w:color="auto" w:fill="auto"/>
          </w:tcPr>
          <w:p w14:paraId="2D68245A"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42</w:t>
            </w:r>
          </w:p>
        </w:tc>
        <w:tc>
          <w:tcPr>
            <w:tcW w:w="2126" w:type="dxa"/>
            <w:shd w:val="clear" w:color="auto" w:fill="auto"/>
          </w:tcPr>
          <w:p w14:paraId="0F4768E4"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45</w:t>
            </w:r>
          </w:p>
        </w:tc>
        <w:tc>
          <w:tcPr>
            <w:tcW w:w="2126" w:type="dxa"/>
            <w:shd w:val="clear" w:color="auto" w:fill="auto"/>
          </w:tcPr>
          <w:p w14:paraId="418F9E49"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87</w:t>
            </w:r>
          </w:p>
        </w:tc>
        <w:tc>
          <w:tcPr>
            <w:tcW w:w="1843" w:type="dxa"/>
            <w:shd w:val="clear" w:color="auto" w:fill="auto"/>
          </w:tcPr>
          <w:p w14:paraId="3DB83DD9"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10</w:t>
            </w:r>
          </w:p>
        </w:tc>
        <w:tc>
          <w:tcPr>
            <w:tcW w:w="1985" w:type="dxa"/>
            <w:shd w:val="clear" w:color="auto" w:fill="auto"/>
          </w:tcPr>
          <w:p w14:paraId="602973D0"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3</w:t>
            </w:r>
          </w:p>
        </w:tc>
        <w:tc>
          <w:tcPr>
            <w:tcW w:w="1842" w:type="dxa"/>
            <w:shd w:val="clear" w:color="auto" w:fill="auto"/>
          </w:tcPr>
          <w:p w14:paraId="314CE56E"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13</w:t>
            </w:r>
          </w:p>
        </w:tc>
        <w:tc>
          <w:tcPr>
            <w:tcW w:w="2268" w:type="dxa"/>
            <w:shd w:val="clear" w:color="auto" w:fill="auto"/>
          </w:tcPr>
          <w:p w14:paraId="6E0A71E4" w14:textId="77777777" w:rsidR="00CD50BF" w:rsidRPr="00D025E8" w:rsidRDefault="00CD50BF" w:rsidP="00A95B0D">
            <w:pPr>
              <w:pStyle w:val="BodyText"/>
              <w:rPr>
                <w:sz w:val="22"/>
                <w:szCs w:val="22"/>
                <w:lang w:val="en-GB" w:eastAsia="en-GB"/>
              </w:rPr>
            </w:pPr>
            <w:r w:rsidRPr="00D025E8">
              <w:rPr>
                <w:b/>
                <w:sz w:val="22"/>
                <w:szCs w:val="22"/>
                <w:lang w:val="en-GB" w:eastAsia="en-GB"/>
              </w:rPr>
              <w:t>Yes</w:t>
            </w:r>
            <w:r w:rsidRPr="00D025E8">
              <w:rPr>
                <w:sz w:val="22"/>
                <w:szCs w:val="22"/>
                <w:lang w:val="en-GB" w:eastAsia="en-GB"/>
              </w:rPr>
              <w:t xml:space="preserve"> (exceeded target by 2%)</w:t>
            </w:r>
          </w:p>
        </w:tc>
      </w:tr>
      <w:tr w:rsidR="00CD50BF" w:rsidRPr="0002408B" w14:paraId="71081100" w14:textId="77777777" w:rsidTr="00A95B0D">
        <w:tc>
          <w:tcPr>
            <w:tcW w:w="1242" w:type="dxa"/>
            <w:shd w:val="clear" w:color="auto" w:fill="auto"/>
          </w:tcPr>
          <w:p w14:paraId="66D35569"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5</w:t>
            </w:r>
          </w:p>
        </w:tc>
        <w:tc>
          <w:tcPr>
            <w:tcW w:w="1843" w:type="dxa"/>
            <w:shd w:val="clear" w:color="auto" w:fill="auto"/>
          </w:tcPr>
          <w:p w14:paraId="54807CE7"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33</w:t>
            </w:r>
          </w:p>
        </w:tc>
        <w:tc>
          <w:tcPr>
            <w:tcW w:w="2126" w:type="dxa"/>
            <w:shd w:val="clear" w:color="auto" w:fill="auto"/>
          </w:tcPr>
          <w:p w14:paraId="60448900"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53</w:t>
            </w:r>
          </w:p>
        </w:tc>
        <w:tc>
          <w:tcPr>
            <w:tcW w:w="2126" w:type="dxa"/>
            <w:shd w:val="clear" w:color="auto" w:fill="auto"/>
          </w:tcPr>
          <w:p w14:paraId="4048B219"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86</w:t>
            </w:r>
          </w:p>
        </w:tc>
        <w:tc>
          <w:tcPr>
            <w:tcW w:w="1843" w:type="dxa"/>
            <w:shd w:val="clear" w:color="auto" w:fill="auto"/>
          </w:tcPr>
          <w:p w14:paraId="3FE52E8A"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11</w:t>
            </w:r>
          </w:p>
        </w:tc>
        <w:tc>
          <w:tcPr>
            <w:tcW w:w="1985" w:type="dxa"/>
            <w:shd w:val="clear" w:color="auto" w:fill="auto"/>
          </w:tcPr>
          <w:p w14:paraId="56374C95"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3</w:t>
            </w:r>
          </w:p>
        </w:tc>
        <w:tc>
          <w:tcPr>
            <w:tcW w:w="1842" w:type="dxa"/>
            <w:shd w:val="clear" w:color="auto" w:fill="auto"/>
          </w:tcPr>
          <w:p w14:paraId="2281D1EA"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14</w:t>
            </w:r>
          </w:p>
        </w:tc>
        <w:tc>
          <w:tcPr>
            <w:tcW w:w="2268" w:type="dxa"/>
            <w:shd w:val="clear" w:color="auto" w:fill="auto"/>
          </w:tcPr>
          <w:p w14:paraId="695EB30E" w14:textId="77777777" w:rsidR="00CD50BF" w:rsidRPr="00D025E8" w:rsidRDefault="00CD50BF" w:rsidP="00A95B0D">
            <w:pPr>
              <w:pStyle w:val="BodyText"/>
              <w:rPr>
                <w:sz w:val="22"/>
                <w:szCs w:val="22"/>
                <w:lang w:val="en-GB" w:eastAsia="en-GB"/>
              </w:rPr>
            </w:pPr>
            <w:r w:rsidRPr="00D025E8">
              <w:rPr>
                <w:b/>
                <w:sz w:val="22"/>
                <w:szCs w:val="22"/>
                <w:lang w:val="en-GB" w:eastAsia="en-GB"/>
              </w:rPr>
              <w:t>Yes</w:t>
            </w:r>
            <w:r w:rsidRPr="00D025E8">
              <w:rPr>
                <w:sz w:val="22"/>
                <w:szCs w:val="22"/>
                <w:lang w:val="en-GB" w:eastAsia="en-GB"/>
              </w:rPr>
              <w:t xml:space="preserve"> (exceeded target by 1%)</w:t>
            </w:r>
          </w:p>
        </w:tc>
      </w:tr>
      <w:tr w:rsidR="00CD50BF" w:rsidRPr="0002408B" w14:paraId="49E871AC" w14:textId="77777777" w:rsidTr="00A95B0D">
        <w:tc>
          <w:tcPr>
            <w:tcW w:w="1242" w:type="dxa"/>
            <w:shd w:val="clear" w:color="auto" w:fill="auto"/>
          </w:tcPr>
          <w:p w14:paraId="5D8122F0"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6</w:t>
            </w:r>
          </w:p>
        </w:tc>
        <w:tc>
          <w:tcPr>
            <w:tcW w:w="1843" w:type="dxa"/>
            <w:shd w:val="clear" w:color="auto" w:fill="auto"/>
          </w:tcPr>
          <w:p w14:paraId="3E26276E"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18</w:t>
            </w:r>
          </w:p>
        </w:tc>
        <w:tc>
          <w:tcPr>
            <w:tcW w:w="2126" w:type="dxa"/>
            <w:shd w:val="clear" w:color="auto" w:fill="auto"/>
          </w:tcPr>
          <w:p w14:paraId="58C3836C"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74</w:t>
            </w:r>
          </w:p>
        </w:tc>
        <w:tc>
          <w:tcPr>
            <w:tcW w:w="2126" w:type="dxa"/>
            <w:shd w:val="clear" w:color="auto" w:fill="auto"/>
          </w:tcPr>
          <w:p w14:paraId="5F95A59E"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92</w:t>
            </w:r>
          </w:p>
        </w:tc>
        <w:tc>
          <w:tcPr>
            <w:tcW w:w="1843" w:type="dxa"/>
            <w:shd w:val="clear" w:color="auto" w:fill="auto"/>
          </w:tcPr>
          <w:p w14:paraId="0AFF8102"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8</w:t>
            </w:r>
          </w:p>
        </w:tc>
        <w:tc>
          <w:tcPr>
            <w:tcW w:w="1985" w:type="dxa"/>
            <w:shd w:val="clear" w:color="auto" w:fill="auto"/>
          </w:tcPr>
          <w:p w14:paraId="0704DEB4"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0</w:t>
            </w:r>
          </w:p>
        </w:tc>
        <w:tc>
          <w:tcPr>
            <w:tcW w:w="1842" w:type="dxa"/>
            <w:shd w:val="clear" w:color="auto" w:fill="auto"/>
          </w:tcPr>
          <w:p w14:paraId="60E062F9"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8</w:t>
            </w:r>
          </w:p>
        </w:tc>
        <w:tc>
          <w:tcPr>
            <w:tcW w:w="2268" w:type="dxa"/>
            <w:shd w:val="clear" w:color="auto" w:fill="auto"/>
          </w:tcPr>
          <w:p w14:paraId="1B41E485" w14:textId="77777777" w:rsidR="00CD50BF" w:rsidRPr="00D025E8" w:rsidRDefault="00CD50BF" w:rsidP="00A95B0D">
            <w:pPr>
              <w:pStyle w:val="BodyText"/>
              <w:rPr>
                <w:sz w:val="22"/>
                <w:szCs w:val="22"/>
                <w:lang w:val="en-GB" w:eastAsia="en-GB"/>
              </w:rPr>
            </w:pPr>
            <w:r w:rsidRPr="00D025E8">
              <w:rPr>
                <w:b/>
                <w:sz w:val="22"/>
                <w:szCs w:val="22"/>
                <w:lang w:val="en-GB" w:eastAsia="en-GB"/>
              </w:rPr>
              <w:t>Yes</w:t>
            </w:r>
            <w:r w:rsidRPr="00D025E8">
              <w:rPr>
                <w:sz w:val="22"/>
                <w:szCs w:val="22"/>
                <w:lang w:val="en-GB" w:eastAsia="en-GB"/>
              </w:rPr>
              <w:t xml:space="preserve"> (exceeded target by 7%)</w:t>
            </w:r>
          </w:p>
        </w:tc>
      </w:tr>
      <w:tr w:rsidR="00CD50BF" w:rsidRPr="0002408B" w14:paraId="2779F31C" w14:textId="77777777" w:rsidTr="00A95B0D">
        <w:tc>
          <w:tcPr>
            <w:tcW w:w="1242" w:type="dxa"/>
            <w:shd w:val="clear" w:color="auto" w:fill="auto"/>
          </w:tcPr>
          <w:p w14:paraId="755DA587" w14:textId="77777777" w:rsidR="00CD50BF" w:rsidRPr="00D025E8" w:rsidRDefault="00CD50BF" w:rsidP="00A95B0D">
            <w:pPr>
              <w:pStyle w:val="BodyText"/>
              <w:jc w:val="center"/>
              <w:rPr>
                <w:b/>
                <w:color w:val="0000CC"/>
                <w:sz w:val="22"/>
                <w:szCs w:val="22"/>
                <w:highlight w:val="yellow"/>
                <w:lang w:val="en-GB" w:eastAsia="en-GB"/>
              </w:rPr>
            </w:pPr>
            <w:r w:rsidRPr="00D025E8">
              <w:rPr>
                <w:b/>
                <w:color w:val="0000CC"/>
                <w:sz w:val="22"/>
                <w:szCs w:val="22"/>
                <w:highlight w:val="yellow"/>
                <w:lang w:val="en-GB" w:eastAsia="en-GB"/>
              </w:rPr>
              <w:t>7</w:t>
            </w:r>
          </w:p>
        </w:tc>
        <w:tc>
          <w:tcPr>
            <w:tcW w:w="1843" w:type="dxa"/>
            <w:shd w:val="clear" w:color="auto" w:fill="auto"/>
          </w:tcPr>
          <w:p w14:paraId="24A42847"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29</w:t>
            </w:r>
          </w:p>
        </w:tc>
        <w:tc>
          <w:tcPr>
            <w:tcW w:w="2126" w:type="dxa"/>
            <w:shd w:val="clear" w:color="auto" w:fill="auto"/>
          </w:tcPr>
          <w:p w14:paraId="48A9E590"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47</w:t>
            </w:r>
          </w:p>
        </w:tc>
        <w:tc>
          <w:tcPr>
            <w:tcW w:w="2126" w:type="dxa"/>
            <w:shd w:val="clear" w:color="auto" w:fill="auto"/>
          </w:tcPr>
          <w:p w14:paraId="38D8A0E0"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76</w:t>
            </w:r>
          </w:p>
        </w:tc>
        <w:tc>
          <w:tcPr>
            <w:tcW w:w="1843" w:type="dxa"/>
            <w:shd w:val="clear" w:color="auto" w:fill="auto"/>
          </w:tcPr>
          <w:p w14:paraId="69A089DD"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18</w:t>
            </w:r>
          </w:p>
        </w:tc>
        <w:tc>
          <w:tcPr>
            <w:tcW w:w="1985" w:type="dxa"/>
            <w:shd w:val="clear" w:color="auto" w:fill="auto"/>
          </w:tcPr>
          <w:p w14:paraId="4ED5D0FB"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6</w:t>
            </w:r>
          </w:p>
        </w:tc>
        <w:tc>
          <w:tcPr>
            <w:tcW w:w="1842" w:type="dxa"/>
            <w:shd w:val="clear" w:color="auto" w:fill="auto"/>
          </w:tcPr>
          <w:p w14:paraId="7BBF0406" w14:textId="77777777" w:rsidR="00CD50BF" w:rsidRPr="00D025E8" w:rsidRDefault="00CD50BF" w:rsidP="00A95B0D">
            <w:pPr>
              <w:pStyle w:val="BodyText"/>
              <w:jc w:val="center"/>
              <w:rPr>
                <w:sz w:val="22"/>
                <w:szCs w:val="22"/>
                <w:highlight w:val="yellow"/>
                <w:lang w:val="en-GB" w:eastAsia="en-GB"/>
              </w:rPr>
            </w:pPr>
            <w:r w:rsidRPr="00D025E8">
              <w:rPr>
                <w:sz w:val="22"/>
                <w:szCs w:val="22"/>
                <w:highlight w:val="yellow"/>
                <w:lang w:val="en-GB" w:eastAsia="en-GB"/>
              </w:rPr>
              <w:t>24</w:t>
            </w:r>
          </w:p>
        </w:tc>
        <w:tc>
          <w:tcPr>
            <w:tcW w:w="2268" w:type="dxa"/>
            <w:shd w:val="clear" w:color="auto" w:fill="auto"/>
          </w:tcPr>
          <w:p w14:paraId="6A0A4806" w14:textId="77777777" w:rsidR="00CD50BF" w:rsidRPr="00D025E8" w:rsidRDefault="00CD50BF" w:rsidP="00A95B0D">
            <w:pPr>
              <w:pStyle w:val="BodyText"/>
              <w:rPr>
                <w:sz w:val="22"/>
                <w:szCs w:val="22"/>
                <w:highlight w:val="yellow"/>
                <w:lang w:val="en-GB" w:eastAsia="en-GB"/>
              </w:rPr>
            </w:pPr>
            <w:r w:rsidRPr="00D025E8">
              <w:rPr>
                <w:b/>
                <w:sz w:val="22"/>
                <w:szCs w:val="22"/>
                <w:highlight w:val="yellow"/>
                <w:lang w:val="en-GB" w:eastAsia="en-GB"/>
              </w:rPr>
              <w:t>No</w:t>
            </w:r>
            <w:r w:rsidRPr="00D025E8">
              <w:rPr>
                <w:sz w:val="22"/>
                <w:szCs w:val="22"/>
                <w:highlight w:val="yellow"/>
                <w:lang w:val="en-GB" w:eastAsia="en-GB"/>
              </w:rPr>
              <w:t xml:space="preserve"> </w:t>
            </w:r>
          </w:p>
        </w:tc>
      </w:tr>
      <w:tr w:rsidR="00CD50BF" w:rsidRPr="0002408B" w14:paraId="2A70CD7B" w14:textId="77777777" w:rsidTr="00A95B0D">
        <w:tc>
          <w:tcPr>
            <w:tcW w:w="1242" w:type="dxa"/>
            <w:shd w:val="clear" w:color="auto" w:fill="auto"/>
          </w:tcPr>
          <w:p w14:paraId="0C70465A" w14:textId="77777777" w:rsidR="00CD50BF" w:rsidRPr="00D025E8" w:rsidRDefault="00CD50BF" w:rsidP="00A95B0D">
            <w:pPr>
              <w:pStyle w:val="BodyText"/>
              <w:jc w:val="center"/>
              <w:rPr>
                <w:b/>
                <w:color w:val="0000CC"/>
                <w:sz w:val="22"/>
                <w:szCs w:val="22"/>
                <w:lang w:val="en-GB" w:eastAsia="en-GB"/>
              </w:rPr>
            </w:pPr>
            <w:r w:rsidRPr="00D025E8">
              <w:rPr>
                <w:b/>
                <w:color w:val="0000CC"/>
                <w:sz w:val="22"/>
                <w:szCs w:val="22"/>
                <w:lang w:val="en-GB" w:eastAsia="en-GB"/>
              </w:rPr>
              <w:t>8</w:t>
            </w:r>
          </w:p>
        </w:tc>
        <w:tc>
          <w:tcPr>
            <w:tcW w:w="1843" w:type="dxa"/>
            <w:shd w:val="clear" w:color="auto" w:fill="auto"/>
          </w:tcPr>
          <w:p w14:paraId="4A47A19E"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45</w:t>
            </w:r>
          </w:p>
        </w:tc>
        <w:tc>
          <w:tcPr>
            <w:tcW w:w="2126" w:type="dxa"/>
            <w:shd w:val="clear" w:color="auto" w:fill="auto"/>
          </w:tcPr>
          <w:p w14:paraId="391009B5"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53</w:t>
            </w:r>
          </w:p>
        </w:tc>
        <w:tc>
          <w:tcPr>
            <w:tcW w:w="2126" w:type="dxa"/>
            <w:shd w:val="clear" w:color="auto" w:fill="auto"/>
          </w:tcPr>
          <w:p w14:paraId="37514064"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98</w:t>
            </w:r>
          </w:p>
        </w:tc>
        <w:tc>
          <w:tcPr>
            <w:tcW w:w="1843" w:type="dxa"/>
            <w:shd w:val="clear" w:color="auto" w:fill="auto"/>
          </w:tcPr>
          <w:p w14:paraId="43201BC9"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2</w:t>
            </w:r>
          </w:p>
        </w:tc>
        <w:tc>
          <w:tcPr>
            <w:tcW w:w="1985" w:type="dxa"/>
            <w:shd w:val="clear" w:color="auto" w:fill="auto"/>
          </w:tcPr>
          <w:p w14:paraId="41D6D798"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0</w:t>
            </w:r>
          </w:p>
        </w:tc>
        <w:tc>
          <w:tcPr>
            <w:tcW w:w="1842" w:type="dxa"/>
            <w:shd w:val="clear" w:color="auto" w:fill="auto"/>
          </w:tcPr>
          <w:p w14:paraId="6A19B96F" w14:textId="77777777" w:rsidR="00CD50BF" w:rsidRPr="00D025E8" w:rsidRDefault="00CD50BF" w:rsidP="00A95B0D">
            <w:pPr>
              <w:pStyle w:val="BodyText"/>
              <w:jc w:val="center"/>
              <w:rPr>
                <w:sz w:val="22"/>
                <w:szCs w:val="22"/>
                <w:lang w:val="en-GB" w:eastAsia="en-GB"/>
              </w:rPr>
            </w:pPr>
            <w:r w:rsidRPr="00D025E8">
              <w:rPr>
                <w:sz w:val="22"/>
                <w:szCs w:val="22"/>
                <w:lang w:val="en-GB" w:eastAsia="en-GB"/>
              </w:rPr>
              <w:t>2</w:t>
            </w:r>
          </w:p>
        </w:tc>
        <w:tc>
          <w:tcPr>
            <w:tcW w:w="2268" w:type="dxa"/>
            <w:shd w:val="clear" w:color="auto" w:fill="auto"/>
          </w:tcPr>
          <w:p w14:paraId="77EBC1A5" w14:textId="77777777" w:rsidR="00CD50BF" w:rsidRPr="00D025E8" w:rsidRDefault="00CD50BF" w:rsidP="00A95B0D">
            <w:pPr>
              <w:pStyle w:val="BodyText"/>
              <w:rPr>
                <w:sz w:val="22"/>
                <w:szCs w:val="22"/>
                <w:lang w:val="en-GB" w:eastAsia="en-GB"/>
              </w:rPr>
            </w:pPr>
            <w:r w:rsidRPr="00D025E8">
              <w:rPr>
                <w:b/>
                <w:sz w:val="22"/>
                <w:szCs w:val="22"/>
                <w:lang w:val="en-GB" w:eastAsia="en-GB"/>
              </w:rPr>
              <w:t>Yes</w:t>
            </w:r>
            <w:r w:rsidRPr="00D025E8">
              <w:rPr>
                <w:sz w:val="22"/>
                <w:szCs w:val="22"/>
                <w:lang w:val="en-GB" w:eastAsia="en-GB"/>
              </w:rPr>
              <w:t xml:space="preserve"> (exceeded target by 13%)</w:t>
            </w:r>
          </w:p>
        </w:tc>
      </w:tr>
    </w:tbl>
    <w:p w14:paraId="4487A8F2" w14:textId="77777777" w:rsidR="00CD50BF" w:rsidRPr="00C72E4C" w:rsidRDefault="00CD50BF" w:rsidP="00CD50BF">
      <w:pPr>
        <w:pStyle w:val="BodyText"/>
        <w:ind w:left="142"/>
        <w:rPr>
          <w:b/>
          <w:sz w:val="22"/>
          <w:szCs w:val="22"/>
          <w:lang w:val="en-GB" w:eastAsia="en-GB"/>
        </w:rPr>
      </w:pPr>
    </w:p>
    <w:p w14:paraId="23692DC6" w14:textId="77777777" w:rsidR="00CD50BF" w:rsidRDefault="00CD50BF" w:rsidP="00CD50BF">
      <w:pPr>
        <w:pStyle w:val="BodyText"/>
        <w:rPr>
          <w:b/>
          <w:color w:val="365F91"/>
          <w:sz w:val="22"/>
          <w:szCs w:val="22"/>
          <w:lang w:val="en-GB" w:eastAsia="en-GB"/>
        </w:rPr>
      </w:pPr>
      <w:r>
        <w:rPr>
          <w:b/>
          <w:color w:val="365F91"/>
          <w:sz w:val="22"/>
          <w:szCs w:val="22"/>
          <w:lang w:val="en-GB" w:eastAsia="en-GB"/>
        </w:rPr>
        <w:t xml:space="preserve">  </w:t>
      </w:r>
    </w:p>
    <w:p w14:paraId="150DC0F3" w14:textId="77777777" w:rsidR="00CD50BF" w:rsidRDefault="00CD50BF" w:rsidP="00CD50BF">
      <w:pPr>
        <w:pStyle w:val="BodyText"/>
        <w:rPr>
          <w:b/>
          <w:color w:val="365F91"/>
          <w:sz w:val="22"/>
          <w:szCs w:val="22"/>
          <w:lang w:val="en-GB" w:eastAsia="en-GB"/>
        </w:rPr>
      </w:pPr>
    </w:p>
    <w:p w14:paraId="4BAFF0B6" w14:textId="77777777" w:rsidR="00CD50BF" w:rsidRDefault="00CD50BF" w:rsidP="00CD50BF">
      <w:pPr>
        <w:pStyle w:val="BodyText"/>
        <w:rPr>
          <w:b/>
          <w:color w:val="365F91"/>
          <w:sz w:val="22"/>
          <w:szCs w:val="22"/>
          <w:lang w:val="en-GB" w:eastAsia="en-GB"/>
        </w:rPr>
      </w:pPr>
    </w:p>
    <w:p w14:paraId="37B24611" w14:textId="77777777" w:rsidR="00CD50BF" w:rsidRDefault="00CD50BF" w:rsidP="00CD50BF">
      <w:pPr>
        <w:pStyle w:val="BodyText"/>
        <w:rPr>
          <w:color w:val="365F91"/>
          <w:sz w:val="22"/>
          <w:szCs w:val="22"/>
          <w:lang w:val="en-GB" w:eastAsia="en-GB"/>
        </w:rPr>
      </w:pPr>
      <w:r w:rsidRPr="0036231F">
        <w:rPr>
          <w:b/>
          <w:color w:val="365F91"/>
          <w:sz w:val="22"/>
          <w:szCs w:val="22"/>
          <w:lang w:val="en-GB" w:eastAsia="en-GB"/>
        </w:rPr>
        <w:t>Target 4:</w:t>
      </w:r>
      <w:r w:rsidRPr="0036231F">
        <w:rPr>
          <w:color w:val="365F91"/>
          <w:sz w:val="22"/>
          <w:szCs w:val="22"/>
          <w:lang w:val="en-GB" w:eastAsia="en-GB"/>
        </w:rPr>
        <w:t xml:space="preserve"> </w:t>
      </w:r>
    </w:p>
    <w:p w14:paraId="4D36CCBF" w14:textId="77777777" w:rsidR="00CD50BF" w:rsidRDefault="00CD50BF" w:rsidP="00CD50BF">
      <w:pPr>
        <w:pStyle w:val="BodyText"/>
        <w:ind w:left="142"/>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 xml:space="preserve">ave 85% of all students “at” or “above” the national standard. </w:t>
      </w:r>
    </w:p>
    <w:p w14:paraId="4A599BAB" w14:textId="77777777" w:rsidR="00CD50BF" w:rsidRPr="0036231F" w:rsidRDefault="00CD50BF" w:rsidP="00CD50BF">
      <w:pPr>
        <w:pStyle w:val="BodyText"/>
        <w:ind w:left="142"/>
        <w:rPr>
          <w:color w:val="365F91"/>
          <w:sz w:val="22"/>
          <w:szCs w:val="22"/>
          <w:lang w:val="en-GB" w:eastAsia="en-GB"/>
        </w:rPr>
      </w:pPr>
      <w:r w:rsidRPr="0036231F">
        <w:rPr>
          <w:color w:val="365F91"/>
          <w:sz w:val="22"/>
          <w:szCs w:val="22"/>
          <w:lang w:val="en-GB" w:eastAsia="en-GB"/>
        </w:rPr>
        <w:t xml:space="preserve">This is to be achieved by targeting the </w:t>
      </w:r>
      <w:proofErr w:type="gramStart"/>
      <w:r w:rsidRPr="0036231F">
        <w:rPr>
          <w:color w:val="365F91"/>
          <w:sz w:val="22"/>
          <w:szCs w:val="22"/>
          <w:lang w:val="en-GB" w:eastAsia="en-GB"/>
        </w:rPr>
        <w:t>2013 year</w:t>
      </w:r>
      <w:proofErr w:type="gramEnd"/>
      <w:r w:rsidRPr="0036231F">
        <w:rPr>
          <w:color w:val="365F91"/>
          <w:sz w:val="22"/>
          <w:szCs w:val="22"/>
          <w:lang w:val="en-GB" w:eastAsia="en-GB"/>
        </w:rPr>
        <w:t xml:space="preserve"> groups who achieved below 80% achieving “at” or “above” i.e. years 3, 4, 6, and 8 2014 year groups and the continuation of the “ALL” intervention.</w:t>
      </w:r>
    </w:p>
    <w:p w14:paraId="6AB5D89E" w14:textId="77777777" w:rsidR="00CD50BF" w:rsidRDefault="00CD50BF" w:rsidP="00CD50BF">
      <w:pPr>
        <w:pStyle w:val="BodyText"/>
        <w:spacing w:before="0" w:after="0" w:line="276" w:lineRule="auto"/>
        <w:ind w:left="142"/>
        <w:rPr>
          <w:b/>
          <w:sz w:val="22"/>
          <w:szCs w:val="22"/>
          <w:lang w:val="en-GB" w:eastAsia="en-GB"/>
        </w:rPr>
      </w:pPr>
    </w:p>
    <w:p w14:paraId="5D441C02" w14:textId="77777777" w:rsidR="00CD50BF" w:rsidRPr="00217B71" w:rsidRDefault="00CD50BF" w:rsidP="00CD50BF">
      <w:pPr>
        <w:pStyle w:val="BodyText"/>
        <w:spacing w:before="0" w:after="0" w:line="276" w:lineRule="auto"/>
        <w:ind w:left="142"/>
        <w:rPr>
          <w:b/>
          <w:color w:val="365F91"/>
          <w:sz w:val="22"/>
          <w:szCs w:val="22"/>
          <w:lang w:val="en-GB" w:eastAsia="en-GB"/>
        </w:rPr>
      </w:pPr>
      <w:r w:rsidRPr="00217B71">
        <w:rPr>
          <w:b/>
          <w:color w:val="365F91"/>
          <w:sz w:val="22"/>
          <w:szCs w:val="22"/>
          <w:lang w:val="en-GB" w:eastAsia="en-GB"/>
        </w:rPr>
        <w:t>Result:</w:t>
      </w:r>
    </w:p>
    <w:p w14:paraId="18F3672C" w14:textId="77777777" w:rsidR="00CD50BF" w:rsidRPr="009F4D94" w:rsidRDefault="00CD50BF" w:rsidP="00CD50BF">
      <w:pPr>
        <w:pStyle w:val="BodyText"/>
        <w:spacing w:before="0" w:after="0" w:line="276" w:lineRule="auto"/>
        <w:ind w:left="142"/>
        <w:rPr>
          <w:sz w:val="22"/>
          <w:szCs w:val="22"/>
          <w:lang w:val="en-GB" w:eastAsia="en-GB"/>
        </w:rPr>
      </w:pPr>
      <w:r w:rsidRPr="009F4D94">
        <w:rPr>
          <w:sz w:val="22"/>
          <w:szCs w:val="22"/>
          <w:lang w:val="en-GB" w:eastAsia="en-GB"/>
        </w:rPr>
        <w:t>In 2014</w:t>
      </w:r>
      <w:r>
        <w:rPr>
          <w:sz w:val="22"/>
          <w:szCs w:val="22"/>
          <w:lang w:val="en-GB" w:eastAsia="en-GB"/>
        </w:rPr>
        <w:t xml:space="preserve"> years 1, 2, 4, 5, 6, and 8 had 85% or more students reaching “at” or “above” the National Standard for their year level or time at school. Years 3 and 7 didn’t reach the 2014 85% target. See table above. </w:t>
      </w:r>
    </w:p>
    <w:p w14:paraId="4CC9D2C8" w14:textId="77777777" w:rsidR="00CD50BF" w:rsidRDefault="00CD50BF" w:rsidP="00CD50BF">
      <w:pPr>
        <w:pStyle w:val="BodyText"/>
        <w:spacing w:line="276" w:lineRule="auto"/>
        <w:ind w:left="142"/>
        <w:rPr>
          <w:b/>
          <w:color w:val="365F91"/>
          <w:sz w:val="22"/>
          <w:szCs w:val="22"/>
          <w:highlight w:val="yellow"/>
          <w:lang w:val="en-GB" w:eastAsia="en-GB"/>
        </w:rPr>
      </w:pPr>
    </w:p>
    <w:p w14:paraId="75A82DA7" w14:textId="77777777" w:rsidR="00CD50BF" w:rsidRPr="00883FCD" w:rsidRDefault="00CD50BF" w:rsidP="00CD50BF">
      <w:pPr>
        <w:pStyle w:val="BodyText"/>
        <w:spacing w:line="276" w:lineRule="auto"/>
        <w:ind w:left="142"/>
        <w:rPr>
          <w:b/>
          <w:color w:val="365F91"/>
          <w:sz w:val="22"/>
          <w:szCs w:val="22"/>
          <w:lang w:val="en-GB" w:eastAsia="en-GB"/>
        </w:rPr>
      </w:pPr>
      <w:r w:rsidRPr="00883FCD">
        <w:rPr>
          <w:b/>
          <w:color w:val="365F91"/>
          <w:sz w:val="22"/>
          <w:szCs w:val="22"/>
          <w:highlight w:val="yellow"/>
          <w:lang w:val="en-GB" w:eastAsia="en-GB"/>
        </w:rPr>
        <w:t>High Ability Students</w:t>
      </w:r>
    </w:p>
    <w:p w14:paraId="4FEC4831" w14:textId="77777777" w:rsidR="00CD50BF" w:rsidRDefault="00CD50BF" w:rsidP="00CD50BF">
      <w:pPr>
        <w:pStyle w:val="BodyText"/>
        <w:spacing w:line="276" w:lineRule="auto"/>
        <w:ind w:left="142"/>
        <w:rPr>
          <w:color w:val="365F91"/>
          <w:sz w:val="22"/>
          <w:szCs w:val="22"/>
          <w:lang w:val="en-GB" w:eastAsia="en-GB"/>
        </w:rPr>
      </w:pPr>
      <w:r>
        <w:rPr>
          <w:b/>
          <w:color w:val="365F91"/>
          <w:sz w:val="22"/>
          <w:szCs w:val="22"/>
          <w:lang w:val="en-GB" w:eastAsia="en-GB"/>
        </w:rPr>
        <w:t>Strategic</w:t>
      </w:r>
      <w:r w:rsidRPr="007C43FE">
        <w:rPr>
          <w:b/>
          <w:color w:val="365F91"/>
          <w:sz w:val="22"/>
          <w:szCs w:val="22"/>
          <w:lang w:val="en-GB" w:eastAsia="en-GB"/>
        </w:rPr>
        <w:t xml:space="preserve"> Goal 3</w:t>
      </w:r>
      <w:r>
        <w:rPr>
          <w:color w:val="365F91"/>
          <w:sz w:val="22"/>
          <w:szCs w:val="22"/>
          <w:lang w:val="en-GB" w:eastAsia="en-GB"/>
        </w:rPr>
        <w:t xml:space="preserve">: </w:t>
      </w:r>
    </w:p>
    <w:p w14:paraId="369A68A0" w14:textId="77777777" w:rsidR="00CD50BF" w:rsidRDefault="00CD50BF" w:rsidP="00CD50BF">
      <w:pPr>
        <w:pStyle w:val="BodyText"/>
        <w:spacing w:line="276" w:lineRule="auto"/>
        <w:ind w:left="142"/>
        <w:rPr>
          <w:color w:val="365F91"/>
          <w:sz w:val="22"/>
          <w:szCs w:val="22"/>
          <w:lang w:val="en-GB" w:eastAsia="en-GB"/>
        </w:rPr>
      </w:pPr>
      <w:r>
        <w:rPr>
          <w:color w:val="365F91"/>
          <w:sz w:val="22"/>
          <w:szCs w:val="22"/>
          <w:lang w:val="en-GB" w:eastAsia="en-GB"/>
        </w:rPr>
        <w:t>Identify and record these students and their strengths and communicate to team leaders and teachers the names, strength(s) of these students so that an appropriate, challenging and differentiated programme is put in place to meet their specific needs</w:t>
      </w:r>
    </w:p>
    <w:p w14:paraId="5CACA062" w14:textId="77777777" w:rsidR="00CD50BF" w:rsidRDefault="00CD50BF" w:rsidP="00CD50BF">
      <w:pPr>
        <w:pStyle w:val="BodyText"/>
        <w:spacing w:line="276" w:lineRule="auto"/>
        <w:ind w:left="142"/>
        <w:rPr>
          <w:sz w:val="22"/>
          <w:szCs w:val="22"/>
          <w:lang w:val="en-GB" w:eastAsia="en-GB"/>
        </w:rPr>
      </w:pPr>
      <w:r>
        <w:rPr>
          <w:sz w:val="22"/>
          <w:szCs w:val="22"/>
          <w:lang w:val="en-GB" w:eastAsia="en-GB"/>
        </w:rPr>
        <w:t>Results:</w:t>
      </w:r>
    </w:p>
    <w:p w14:paraId="6591BCC5" w14:textId="77777777" w:rsidR="00CD50BF" w:rsidRPr="00CA6DA1" w:rsidRDefault="00CD50BF" w:rsidP="00CD50BF">
      <w:pPr>
        <w:pStyle w:val="BodyText"/>
        <w:spacing w:line="276" w:lineRule="auto"/>
        <w:ind w:left="142"/>
        <w:rPr>
          <w:sz w:val="22"/>
          <w:szCs w:val="22"/>
          <w:lang w:val="en-GB" w:eastAsia="en-GB"/>
        </w:rPr>
      </w:pPr>
      <w:r>
        <w:rPr>
          <w:sz w:val="22"/>
          <w:szCs w:val="22"/>
          <w:lang w:val="en-GB" w:eastAsia="en-GB"/>
        </w:rPr>
        <w:t xml:space="preserve">All teachers across the school identified and named students who were high ability and high performing within </w:t>
      </w:r>
      <w:proofErr w:type="gramStart"/>
      <w:r>
        <w:rPr>
          <w:sz w:val="22"/>
          <w:szCs w:val="22"/>
          <w:lang w:val="en-GB" w:eastAsia="en-GB"/>
        </w:rPr>
        <w:t>their</w:t>
      </w:r>
      <w:proofErr w:type="gramEnd"/>
      <w:r>
        <w:rPr>
          <w:sz w:val="22"/>
          <w:szCs w:val="22"/>
          <w:lang w:val="en-GB" w:eastAsia="en-GB"/>
        </w:rPr>
        <w:t xml:space="preserve"> learning space and were able to articulate a differentiated learning programme happening in their classrooms to support these children. </w:t>
      </w:r>
    </w:p>
    <w:p w14:paraId="2303C45C" w14:textId="77777777" w:rsidR="00CD50BF" w:rsidRDefault="00CD50BF" w:rsidP="00CD50BF">
      <w:pPr>
        <w:pStyle w:val="BodyText"/>
        <w:spacing w:line="276" w:lineRule="auto"/>
        <w:ind w:left="142"/>
        <w:rPr>
          <w:color w:val="365F91"/>
          <w:sz w:val="22"/>
          <w:szCs w:val="22"/>
          <w:lang w:val="en-GB" w:eastAsia="en-GB"/>
        </w:rPr>
      </w:pPr>
      <w:r w:rsidRPr="007C43FE">
        <w:rPr>
          <w:b/>
          <w:color w:val="365F91"/>
          <w:sz w:val="22"/>
          <w:szCs w:val="22"/>
          <w:lang w:val="en-GB" w:eastAsia="en-GB"/>
        </w:rPr>
        <w:t>Target</w:t>
      </w:r>
      <w:r>
        <w:rPr>
          <w:b/>
          <w:color w:val="365F91"/>
          <w:sz w:val="22"/>
          <w:szCs w:val="22"/>
          <w:lang w:val="en-GB" w:eastAsia="en-GB"/>
        </w:rPr>
        <w:t xml:space="preserve"> 5</w:t>
      </w:r>
      <w:r w:rsidRPr="007C43FE">
        <w:rPr>
          <w:b/>
          <w:color w:val="365F91"/>
          <w:sz w:val="22"/>
          <w:szCs w:val="22"/>
          <w:lang w:val="en-GB" w:eastAsia="en-GB"/>
        </w:rPr>
        <w:t>:</w:t>
      </w:r>
      <w:r>
        <w:rPr>
          <w:color w:val="365F91"/>
          <w:sz w:val="22"/>
          <w:szCs w:val="22"/>
          <w:lang w:val="en-GB" w:eastAsia="en-GB"/>
        </w:rPr>
        <w:t xml:space="preserve"> </w:t>
      </w:r>
    </w:p>
    <w:p w14:paraId="6290BB63" w14:textId="77777777" w:rsidR="00CD50BF" w:rsidRPr="002B2653" w:rsidRDefault="00CD50BF" w:rsidP="00CD50BF">
      <w:pPr>
        <w:pStyle w:val="BodyText"/>
        <w:spacing w:line="276" w:lineRule="auto"/>
        <w:ind w:left="142"/>
        <w:rPr>
          <w:color w:val="365F91"/>
          <w:sz w:val="22"/>
          <w:szCs w:val="22"/>
          <w:lang w:val="en-GB" w:eastAsia="en-GB"/>
        </w:rPr>
      </w:pPr>
      <w:r>
        <w:rPr>
          <w:color w:val="365F91"/>
          <w:sz w:val="22"/>
          <w:szCs w:val="22"/>
          <w:lang w:val="en-GB" w:eastAsia="en-GB"/>
        </w:rPr>
        <w:t>Have 60% of identified high ability students (cluster 5 students) achieve “well above” in their particular area of strength in relation to reading and mathematics national standards.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7092"/>
      </w:tblGrid>
      <w:tr w:rsidR="00CD50BF" w:rsidRPr="00D025E8" w14:paraId="30823C7B" w14:textId="77777777" w:rsidTr="00A95B0D">
        <w:tc>
          <w:tcPr>
            <w:tcW w:w="1526" w:type="dxa"/>
            <w:shd w:val="clear" w:color="auto" w:fill="auto"/>
          </w:tcPr>
          <w:p w14:paraId="6571A71E" w14:textId="77777777" w:rsidR="00CD50BF" w:rsidRPr="00D025E8" w:rsidRDefault="00CD50BF" w:rsidP="00A95B0D">
            <w:pPr>
              <w:pStyle w:val="NormalWeb"/>
              <w:spacing w:line="221" w:lineRule="atLeast"/>
              <w:rPr>
                <w:rFonts w:ascii="Arial" w:hAnsi="Arial" w:cs="Arial"/>
                <w:b/>
                <w:color w:val="365F91"/>
                <w:sz w:val="22"/>
                <w:szCs w:val="22"/>
              </w:rPr>
            </w:pPr>
            <w:r w:rsidRPr="00D025E8">
              <w:rPr>
                <w:rFonts w:ascii="Arial" w:hAnsi="Arial" w:cs="Arial"/>
                <w:b/>
                <w:color w:val="365F91"/>
                <w:sz w:val="22"/>
                <w:szCs w:val="22"/>
              </w:rPr>
              <w:t>Teams</w:t>
            </w:r>
          </w:p>
        </w:tc>
        <w:tc>
          <w:tcPr>
            <w:tcW w:w="11508" w:type="dxa"/>
            <w:shd w:val="clear" w:color="auto" w:fill="auto"/>
          </w:tcPr>
          <w:p w14:paraId="54252827" w14:textId="77777777" w:rsidR="00CD50BF" w:rsidRPr="00D025E8" w:rsidRDefault="00CD50BF" w:rsidP="00A95B0D">
            <w:pPr>
              <w:pStyle w:val="NormalWeb"/>
              <w:spacing w:line="221" w:lineRule="atLeast"/>
              <w:rPr>
                <w:rFonts w:ascii="Arial" w:hAnsi="Arial" w:cs="Arial"/>
                <w:b/>
                <w:color w:val="365F91"/>
                <w:sz w:val="22"/>
                <w:szCs w:val="22"/>
              </w:rPr>
            </w:pPr>
            <w:r w:rsidRPr="00D025E8">
              <w:rPr>
                <w:rFonts w:ascii="Arial" w:hAnsi="Arial" w:cs="Arial"/>
                <w:b/>
                <w:color w:val="365F91"/>
                <w:sz w:val="22"/>
                <w:szCs w:val="22"/>
              </w:rPr>
              <w:t>Results</w:t>
            </w:r>
          </w:p>
        </w:tc>
      </w:tr>
      <w:tr w:rsidR="00CD50BF" w:rsidRPr="00D025E8" w14:paraId="5A864454" w14:textId="77777777" w:rsidTr="00A95B0D">
        <w:tc>
          <w:tcPr>
            <w:tcW w:w="1526" w:type="dxa"/>
            <w:shd w:val="clear" w:color="auto" w:fill="auto"/>
          </w:tcPr>
          <w:p w14:paraId="0F570C22" w14:textId="77777777" w:rsidR="00CD50BF" w:rsidRPr="00D025E8" w:rsidRDefault="00CD50BF" w:rsidP="00A95B0D">
            <w:pPr>
              <w:pStyle w:val="NormalWeb"/>
              <w:spacing w:line="221" w:lineRule="atLeast"/>
              <w:rPr>
                <w:rFonts w:ascii="Arial" w:hAnsi="Arial" w:cs="Arial"/>
                <w:b/>
                <w:color w:val="365F91"/>
                <w:sz w:val="22"/>
                <w:szCs w:val="22"/>
              </w:rPr>
            </w:pPr>
            <w:r w:rsidRPr="00D025E8">
              <w:rPr>
                <w:rFonts w:ascii="Arial" w:hAnsi="Arial" w:cs="Arial"/>
                <w:b/>
                <w:color w:val="365F91"/>
                <w:sz w:val="22"/>
                <w:szCs w:val="22"/>
              </w:rPr>
              <w:t>Rata Team</w:t>
            </w:r>
          </w:p>
        </w:tc>
        <w:tc>
          <w:tcPr>
            <w:tcW w:w="11508" w:type="dxa"/>
            <w:shd w:val="clear" w:color="auto" w:fill="auto"/>
          </w:tcPr>
          <w:p w14:paraId="197938D7" w14:textId="77777777" w:rsidR="00CD50BF" w:rsidRPr="00347BAA" w:rsidRDefault="00CD50BF" w:rsidP="00A95B0D">
            <w:pPr>
              <w:pStyle w:val="NormalWeb"/>
              <w:spacing w:line="221" w:lineRule="atLeast"/>
              <w:rPr>
                <w:rFonts w:ascii="Arial" w:hAnsi="Arial" w:cs="Arial"/>
                <w:b/>
                <w:sz w:val="22"/>
                <w:szCs w:val="22"/>
              </w:rPr>
            </w:pPr>
            <w:r w:rsidRPr="00347BAA">
              <w:rPr>
                <w:rFonts w:ascii="Arial" w:hAnsi="Arial" w:cs="Arial"/>
                <w:b/>
                <w:sz w:val="22"/>
                <w:szCs w:val="22"/>
              </w:rPr>
              <w:t>N/A</w:t>
            </w:r>
          </w:p>
        </w:tc>
      </w:tr>
      <w:tr w:rsidR="00CD50BF" w:rsidRPr="00D025E8" w14:paraId="3F9F8957" w14:textId="77777777" w:rsidTr="00A95B0D">
        <w:tc>
          <w:tcPr>
            <w:tcW w:w="1526" w:type="dxa"/>
            <w:shd w:val="clear" w:color="auto" w:fill="auto"/>
          </w:tcPr>
          <w:p w14:paraId="6BF83B81" w14:textId="77777777" w:rsidR="00CD50BF" w:rsidRDefault="00CD50BF" w:rsidP="00A95B0D">
            <w:pPr>
              <w:pStyle w:val="NormalWeb"/>
              <w:spacing w:line="221" w:lineRule="atLeast"/>
              <w:rPr>
                <w:rFonts w:ascii="Arial" w:hAnsi="Arial" w:cs="Arial"/>
                <w:b/>
                <w:color w:val="365F91"/>
                <w:sz w:val="22"/>
                <w:szCs w:val="22"/>
              </w:rPr>
            </w:pPr>
            <w:r w:rsidRPr="00D025E8">
              <w:rPr>
                <w:rFonts w:ascii="Arial" w:hAnsi="Arial" w:cs="Arial"/>
                <w:b/>
                <w:color w:val="365F91"/>
                <w:sz w:val="22"/>
                <w:szCs w:val="22"/>
              </w:rPr>
              <w:t>Kowhai Team</w:t>
            </w:r>
          </w:p>
          <w:p w14:paraId="2D0FC0C5" w14:textId="77777777" w:rsidR="00CD50BF" w:rsidRPr="006B48E5" w:rsidRDefault="00CD50BF" w:rsidP="00A95B0D">
            <w:pPr>
              <w:pStyle w:val="NormalWeb"/>
              <w:spacing w:line="221" w:lineRule="atLeast"/>
              <w:rPr>
                <w:rFonts w:ascii="Arial" w:hAnsi="Arial" w:cs="Arial"/>
                <w:b/>
                <w:color w:val="00B050"/>
                <w:sz w:val="22"/>
                <w:szCs w:val="22"/>
              </w:rPr>
            </w:pPr>
          </w:p>
        </w:tc>
        <w:tc>
          <w:tcPr>
            <w:tcW w:w="11508" w:type="dxa"/>
            <w:shd w:val="clear" w:color="auto" w:fill="auto"/>
          </w:tcPr>
          <w:p w14:paraId="5063179D" w14:textId="77777777" w:rsidR="00CD50BF" w:rsidRPr="00D025E8" w:rsidRDefault="00CD50BF" w:rsidP="00A95B0D">
            <w:pPr>
              <w:rPr>
                <w:rFonts w:ascii="Arial" w:hAnsi="Arial"/>
                <w:b/>
                <w:color w:val="365F91"/>
              </w:rPr>
            </w:pPr>
            <w:r w:rsidRPr="00D025E8">
              <w:rPr>
                <w:rFonts w:ascii="Arial" w:hAnsi="Arial"/>
                <w:b/>
                <w:color w:val="365F91"/>
              </w:rPr>
              <w:t>Year 3</w:t>
            </w:r>
          </w:p>
          <w:p w14:paraId="048DB7E8" w14:textId="77777777" w:rsidR="00CD50BF" w:rsidRPr="00D025E8" w:rsidRDefault="00CD50BF" w:rsidP="00A95B0D">
            <w:pPr>
              <w:rPr>
                <w:rFonts w:ascii="Arial" w:hAnsi="Arial"/>
              </w:rPr>
            </w:pPr>
            <w:r w:rsidRPr="00D025E8">
              <w:rPr>
                <w:rFonts w:ascii="Arial" w:hAnsi="Arial"/>
              </w:rPr>
              <w:t>Reading: 71%</w:t>
            </w:r>
            <w:r>
              <w:rPr>
                <w:rFonts w:ascii="Arial" w:hAnsi="Arial"/>
              </w:rPr>
              <w:t xml:space="preserve"> </w:t>
            </w:r>
            <w:r w:rsidRPr="006B48E5">
              <w:rPr>
                <w:rFonts w:ascii="Arial" w:hAnsi="Arial"/>
                <w:b/>
                <w:color w:val="00B050"/>
              </w:rPr>
              <w:t>(achieved)</w:t>
            </w:r>
            <w:r w:rsidRPr="00D025E8">
              <w:rPr>
                <w:rFonts w:ascii="Arial" w:hAnsi="Arial"/>
              </w:rPr>
              <w:t xml:space="preserve"> of students identified as high ability achieved “Well Above” in Reading.</w:t>
            </w:r>
          </w:p>
          <w:p w14:paraId="4BD4F8E7" w14:textId="77777777" w:rsidR="00CD50BF" w:rsidRPr="00D025E8" w:rsidRDefault="00CD50BF" w:rsidP="00A95B0D">
            <w:pPr>
              <w:rPr>
                <w:rFonts w:ascii="Arial" w:hAnsi="Arial"/>
              </w:rPr>
            </w:pPr>
            <w:r w:rsidRPr="00D025E8">
              <w:rPr>
                <w:rFonts w:ascii="Arial" w:hAnsi="Arial"/>
              </w:rPr>
              <w:t>Maths: 92%</w:t>
            </w:r>
            <w:r>
              <w:rPr>
                <w:rFonts w:ascii="Arial" w:hAnsi="Arial"/>
              </w:rPr>
              <w:t xml:space="preserve"> </w:t>
            </w:r>
            <w:r w:rsidRPr="006B48E5">
              <w:rPr>
                <w:rFonts w:ascii="Arial" w:hAnsi="Arial"/>
                <w:b/>
                <w:color w:val="00B050"/>
              </w:rPr>
              <w:t>(achieved)</w:t>
            </w:r>
            <w:r w:rsidRPr="00D025E8">
              <w:rPr>
                <w:rFonts w:ascii="Arial" w:hAnsi="Arial"/>
              </w:rPr>
              <w:t xml:space="preserve"> of students identified as high ability achieved “Well Above’ in Maths</w:t>
            </w:r>
          </w:p>
          <w:p w14:paraId="445D838B" w14:textId="77777777" w:rsidR="00CD50BF" w:rsidRPr="00D025E8" w:rsidRDefault="00CD50BF" w:rsidP="00A95B0D">
            <w:pPr>
              <w:rPr>
                <w:rFonts w:ascii="Arial" w:hAnsi="Arial"/>
                <w:b/>
                <w:color w:val="365F91"/>
              </w:rPr>
            </w:pPr>
            <w:r w:rsidRPr="00D025E8">
              <w:rPr>
                <w:rFonts w:ascii="Arial" w:hAnsi="Arial"/>
                <w:b/>
                <w:color w:val="365F91"/>
              </w:rPr>
              <w:t>Year 4</w:t>
            </w:r>
          </w:p>
          <w:p w14:paraId="528C4C3A" w14:textId="77777777" w:rsidR="00CD50BF" w:rsidRPr="00D025E8" w:rsidRDefault="00CD50BF" w:rsidP="00A95B0D">
            <w:pPr>
              <w:rPr>
                <w:rFonts w:ascii="Arial" w:hAnsi="Arial"/>
              </w:rPr>
            </w:pPr>
            <w:r w:rsidRPr="00D025E8">
              <w:rPr>
                <w:rFonts w:ascii="Arial" w:hAnsi="Arial"/>
              </w:rPr>
              <w:t>Reading. 83%</w:t>
            </w:r>
            <w:r>
              <w:rPr>
                <w:rFonts w:ascii="Arial" w:hAnsi="Arial"/>
              </w:rPr>
              <w:t xml:space="preserve"> </w:t>
            </w:r>
            <w:r w:rsidRPr="006B48E5">
              <w:rPr>
                <w:rFonts w:ascii="Arial" w:hAnsi="Arial"/>
                <w:b/>
                <w:color w:val="00B050"/>
              </w:rPr>
              <w:t>(achieved)</w:t>
            </w:r>
            <w:r w:rsidRPr="00D025E8">
              <w:rPr>
                <w:rFonts w:ascii="Arial" w:hAnsi="Arial"/>
              </w:rPr>
              <w:t xml:space="preserve"> of students identified as high ability achieved “Well Above” in Reading.</w:t>
            </w:r>
          </w:p>
          <w:p w14:paraId="6B553A04" w14:textId="77777777" w:rsidR="00CD50BF" w:rsidRPr="00D025E8" w:rsidRDefault="00CD50BF" w:rsidP="00A95B0D">
            <w:pPr>
              <w:rPr>
                <w:rFonts w:ascii="Arial" w:hAnsi="Arial"/>
              </w:rPr>
            </w:pPr>
            <w:r w:rsidRPr="00D025E8">
              <w:rPr>
                <w:rFonts w:ascii="Arial" w:hAnsi="Arial"/>
              </w:rPr>
              <w:t>Maths: 40%</w:t>
            </w:r>
            <w:r>
              <w:rPr>
                <w:rFonts w:ascii="Arial" w:hAnsi="Arial"/>
              </w:rPr>
              <w:t xml:space="preserve"> </w:t>
            </w:r>
            <w:r w:rsidRPr="006B48E5">
              <w:rPr>
                <w:rFonts w:ascii="Arial" w:hAnsi="Arial"/>
                <w:b/>
                <w:color w:val="00B050"/>
              </w:rPr>
              <w:t>(not achieved)</w:t>
            </w:r>
            <w:r w:rsidRPr="00D025E8">
              <w:rPr>
                <w:rFonts w:ascii="Arial" w:hAnsi="Arial"/>
              </w:rPr>
              <w:t xml:space="preserve"> of students identified as high ability achieved “Well Above’ in Maths</w:t>
            </w:r>
          </w:p>
        </w:tc>
      </w:tr>
      <w:tr w:rsidR="00CD50BF" w:rsidRPr="00D025E8" w14:paraId="66B7EDC4" w14:textId="77777777" w:rsidTr="00A95B0D">
        <w:tc>
          <w:tcPr>
            <w:tcW w:w="1526" w:type="dxa"/>
            <w:shd w:val="clear" w:color="auto" w:fill="auto"/>
          </w:tcPr>
          <w:p w14:paraId="66649902" w14:textId="77777777" w:rsidR="00CD50BF" w:rsidRPr="00D025E8" w:rsidRDefault="00CD50BF" w:rsidP="00A95B0D">
            <w:pPr>
              <w:pStyle w:val="NormalWeb"/>
              <w:spacing w:line="221" w:lineRule="atLeast"/>
              <w:rPr>
                <w:rFonts w:ascii="Arial" w:hAnsi="Arial" w:cs="Arial"/>
                <w:b/>
                <w:color w:val="365F91"/>
                <w:sz w:val="22"/>
                <w:szCs w:val="22"/>
              </w:rPr>
            </w:pPr>
            <w:r w:rsidRPr="00D025E8">
              <w:rPr>
                <w:rFonts w:ascii="Arial" w:hAnsi="Arial" w:cs="Arial"/>
                <w:b/>
                <w:color w:val="365F91"/>
                <w:sz w:val="22"/>
                <w:szCs w:val="22"/>
              </w:rPr>
              <w:t>Matai Team</w:t>
            </w:r>
          </w:p>
        </w:tc>
        <w:tc>
          <w:tcPr>
            <w:tcW w:w="11508" w:type="dxa"/>
            <w:shd w:val="clear" w:color="auto" w:fill="auto"/>
          </w:tcPr>
          <w:p w14:paraId="3C4EC9BA" w14:textId="77777777" w:rsidR="00CD50BF" w:rsidRPr="00B6184D" w:rsidRDefault="00CD50BF" w:rsidP="00A95B0D">
            <w:pPr>
              <w:pStyle w:val="NormalWeb"/>
              <w:spacing w:before="0" w:beforeAutospacing="0" w:after="0" w:afterAutospacing="0" w:line="221" w:lineRule="atLeast"/>
              <w:rPr>
                <w:rFonts w:ascii="Arial" w:hAnsi="Arial" w:cs="Arial"/>
                <w:b/>
                <w:color w:val="215868"/>
                <w:sz w:val="22"/>
                <w:szCs w:val="22"/>
              </w:rPr>
            </w:pPr>
            <w:r w:rsidRPr="00B6184D">
              <w:rPr>
                <w:rFonts w:ascii="Arial" w:hAnsi="Arial" w:cs="Arial"/>
                <w:b/>
                <w:color w:val="215868"/>
                <w:sz w:val="22"/>
                <w:szCs w:val="22"/>
              </w:rPr>
              <w:t>Year 5</w:t>
            </w:r>
          </w:p>
          <w:p w14:paraId="359DC2E8" w14:textId="77777777" w:rsidR="00CD50BF" w:rsidRDefault="00CD50BF" w:rsidP="00A95B0D">
            <w:pPr>
              <w:pStyle w:val="NormalWeb"/>
              <w:spacing w:before="0" w:beforeAutospacing="0" w:after="0" w:afterAutospacing="0" w:line="221" w:lineRule="atLeast"/>
              <w:rPr>
                <w:rFonts w:ascii="Arial" w:hAnsi="Arial"/>
                <w:sz w:val="22"/>
                <w:szCs w:val="22"/>
              </w:rPr>
            </w:pPr>
            <w:r>
              <w:rPr>
                <w:rFonts w:ascii="Arial" w:hAnsi="Arial"/>
                <w:sz w:val="22"/>
                <w:szCs w:val="22"/>
              </w:rPr>
              <w:t>Reading: 33</w:t>
            </w:r>
            <w:r w:rsidRPr="00D025E8">
              <w:rPr>
                <w:rFonts w:ascii="Arial" w:hAnsi="Arial"/>
                <w:sz w:val="22"/>
                <w:szCs w:val="22"/>
              </w:rPr>
              <w:t xml:space="preserve">% </w:t>
            </w:r>
            <w:r w:rsidRPr="006B48E5">
              <w:rPr>
                <w:rFonts w:ascii="Arial" w:hAnsi="Arial"/>
                <w:b/>
                <w:color w:val="00B050"/>
                <w:sz w:val="22"/>
                <w:szCs w:val="22"/>
              </w:rPr>
              <w:t>(not achieved)</w:t>
            </w:r>
            <w:r>
              <w:rPr>
                <w:rFonts w:ascii="Arial" w:hAnsi="Arial"/>
                <w:b/>
                <w:color w:val="00B050"/>
                <w:sz w:val="22"/>
                <w:szCs w:val="22"/>
              </w:rPr>
              <w:t xml:space="preserve"> </w:t>
            </w:r>
            <w:r w:rsidRPr="00D025E8">
              <w:rPr>
                <w:rFonts w:ascii="Arial" w:hAnsi="Arial"/>
                <w:sz w:val="22"/>
                <w:szCs w:val="22"/>
              </w:rPr>
              <w:t>of students</w:t>
            </w:r>
            <w:r>
              <w:rPr>
                <w:rFonts w:ascii="Arial" w:hAnsi="Arial"/>
                <w:sz w:val="22"/>
                <w:szCs w:val="22"/>
              </w:rPr>
              <w:t xml:space="preserve"> (3 of 9)</w:t>
            </w:r>
            <w:r w:rsidRPr="00D025E8">
              <w:rPr>
                <w:rFonts w:ascii="Arial" w:hAnsi="Arial"/>
                <w:sz w:val="22"/>
                <w:szCs w:val="22"/>
              </w:rPr>
              <w:t xml:space="preserve"> identified as high ability “Well Above” in Reading.</w:t>
            </w:r>
          </w:p>
          <w:p w14:paraId="004B0C10" w14:textId="77777777" w:rsidR="00CD50BF" w:rsidRPr="00F15300" w:rsidRDefault="00CD50BF" w:rsidP="00A95B0D">
            <w:pPr>
              <w:pStyle w:val="NormalWeb"/>
              <w:spacing w:before="0" w:beforeAutospacing="0" w:after="0" w:afterAutospacing="0" w:line="221" w:lineRule="atLeast"/>
              <w:rPr>
                <w:rFonts w:ascii="Arial" w:hAnsi="Arial" w:cs="Arial"/>
                <w:b/>
                <w:color w:val="17365D"/>
                <w:sz w:val="22"/>
                <w:szCs w:val="22"/>
              </w:rPr>
            </w:pPr>
            <w:r>
              <w:rPr>
                <w:rFonts w:ascii="Arial" w:hAnsi="Arial"/>
                <w:sz w:val="22"/>
                <w:szCs w:val="22"/>
              </w:rPr>
              <w:t>Maths: 82</w:t>
            </w:r>
            <w:r w:rsidRPr="00D025E8">
              <w:rPr>
                <w:rFonts w:ascii="Arial" w:hAnsi="Arial"/>
                <w:sz w:val="22"/>
                <w:szCs w:val="22"/>
              </w:rPr>
              <w:t xml:space="preserve">% </w:t>
            </w:r>
            <w:r w:rsidRPr="006B48E5">
              <w:rPr>
                <w:rFonts w:ascii="Arial" w:hAnsi="Arial"/>
                <w:b/>
                <w:color w:val="00B050"/>
                <w:sz w:val="22"/>
                <w:szCs w:val="22"/>
              </w:rPr>
              <w:t>(achieved)</w:t>
            </w:r>
            <w:r w:rsidRPr="00D025E8">
              <w:rPr>
                <w:rFonts w:ascii="Arial" w:hAnsi="Arial"/>
                <w:sz w:val="22"/>
                <w:szCs w:val="22"/>
              </w:rPr>
              <w:t xml:space="preserve"> of students</w:t>
            </w:r>
            <w:r>
              <w:rPr>
                <w:rFonts w:ascii="Arial" w:hAnsi="Arial"/>
                <w:sz w:val="22"/>
                <w:szCs w:val="22"/>
              </w:rPr>
              <w:t xml:space="preserve"> (9 of 11)</w:t>
            </w:r>
            <w:r w:rsidRPr="00D025E8">
              <w:rPr>
                <w:rFonts w:ascii="Arial" w:hAnsi="Arial"/>
                <w:sz w:val="22"/>
                <w:szCs w:val="22"/>
              </w:rPr>
              <w:t xml:space="preserve"> identified as high ability achieved “Well Above’ in Maths</w:t>
            </w:r>
          </w:p>
          <w:p w14:paraId="5A1A63C1" w14:textId="77777777" w:rsidR="00CD50BF" w:rsidRPr="00B6184D" w:rsidRDefault="00CD50BF" w:rsidP="00A95B0D">
            <w:pPr>
              <w:rPr>
                <w:rFonts w:ascii="Arial" w:hAnsi="Arial" w:cs="Arial"/>
                <w:b/>
                <w:color w:val="215868"/>
              </w:rPr>
            </w:pPr>
            <w:r w:rsidRPr="00B6184D">
              <w:rPr>
                <w:rFonts w:ascii="Arial" w:hAnsi="Arial" w:cs="Arial"/>
                <w:b/>
                <w:color w:val="215868"/>
              </w:rPr>
              <w:t>Year 6</w:t>
            </w:r>
          </w:p>
          <w:p w14:paraId="4171C7D2" w14:textId="77777777" w:rsidR="00CD50BF" w:rsidRDefault="00CD50BF" w:rsidP="00A95B0D">
            <w:pPr>
              <w:pStyle w:val="NormalWeb"/>
              <w:spacing w:before="0" w:beforeAutospacing="0" w:after="0" w:afterAutospacing="0" w:line="221" w:lineRule="atLeast"/>
              <w:rPr>
                <w:rFonts w:ascii="Arial" w:hAnsi="Arial" w:cs="Arial"/>
                <w:b/>
                <w:color w:val="17365D"/>
                <w:sz w:val="22"/>
                <w:szCs w:val="22"/>
              </w:rPr>
            </w:pPr>
            <w:r>
              <w:rPr>
                <w:rFonts w:ascii="Arial" w:hAnsi="Arial"/>
                <w:sz w:val="22"/>
                <w:szCs w:val="22"/>
              </w:rPr>
              <w:t>Reading: 30</w:t>
            </w:r>
            <w:r w:rsidRPr="00D025E8">
              <w:rPr>
                <w:rFonts w:ascii="Arial" w:hAnsi="Arial"/>
                <w:sz w:val="22"/>
                <w:szCs w:val="22"/>
              </w:rPr>
              <w:t>%</w:t>
            </w:r>
            <w:r>
              <w:rPr>
                <w:rFonts w:ascii="Arial" w:hAnsi="Arial"/>
                <w:sz w:val="22"/>
                <w:szCs w:val="22"/>
              </w:rPr>
              <w:t xml:space="preserve"> </w:t>
            </w:r>
            <w:r w:rsidRPr="006B48E5">
              <w:rPr>
                <w:rFonts w:ascii="Arial" w:hAnsi="Arial"/>
                <w:b/>
                <w:color w:val="00B050"/>
                <w:sz w:val="22"/>
                <w:szCs w:val="22"/>
              </w:rPr>
              <w:t>(not achieved)</w:t>
            </w:r>
            <w:r>
              <w:rPr>
                <w:rFonts w:ascii="Arial" w:hAnsi="Arial"/>
                <w:b/>
                <w:color w:val="00B050"/>
                <w:sz w:val="22"/>
                <w:szCs w:val="22"/>
              </w:rPr>
              <w:t xml:space="preserve"> </w:t>
            </w:r>
            <w:r w:rsidRPr="00D025E8">
              <w:rPr>
                <w:rFonts w:ascii="Arial" w:hAnsi="Arial"/>
                <w:sz w:val="22"/>
                <w:szCs w:val="22"/>
              </w:rPr>
              <w:t>of students</w:t>
            </w:r>
            <w:r>
              <w:rPr>
                <w:rFonts w:ascii="Arial" w:hAnsi="Arial"/>
                <w:sz w:val="22"/>
                <w:szCs w:val="22"/>
              </w:rPr>
              <w:t xml:space="preserve"> (3 of 10) </w:t>
            </w:r>
            <w:r w:rsidRPr="00D025E8">
              <w:rPr>
                <w:rFonts w:ascii="Arial" w:hAnsi="Arial"/>
                <w:sz w:val="22"/>
                <w:szCs w:val="22"/>
              </w:rPr>
              <w:t>identified as high ability “Well Above” in Reading.</w:t>
            </w:r>
          </w:p>
          <w:p w14:paraId="450B89F2" w14:textId="77777777" w:rsidR="00CD50BF" w:rsidRPr="000308D3" w:rsidRDefault="00CD50BF" w:rsidP="00A95B0D">
            <w:pPr>
              <w:pStyle w:val="NormalWeb"/>
              <w:spacing w:before="0" w:beforeAutospacing="0" w:after="0" w:afterAutospacing="0" w:line="221" w:lineRule="atLeast"/>
              <w:rPr>
                <w:rFonts w:ascii="Arial" w:hAnsi="Arial" w:cs="Arial"/>
                <w:b/>
                <w:color w:val="17365D"/>
                <w:sz w:val="22"/>
                <w:szCs w:val="22"/>
              </w:rPr>
            </w:pPr>
            <w:r>
              <w:rPr>
                <w:rFonts w:ascii="Arial" w:hAnsi="Arial"/>
                <w:sz w:val="22"/>
                <w:szCs w:val="22"/>
              </w:rPr>
              <w:t>Maths: 100</w:t>
            </w:r>
            <w:r w:rsidRPr="00D025E8">
              <w:rPr>
                <w:rFonts w:ascii="Arial" w:hAnsi="Arial"/>
                <w:sz w:val="22"/>
                <w:szCs w:val="22"/>
              </w:rPr>
              <w:t>%</w:t>
            </w:r>
            <w:r>
              <w:rPr>
                <w:rFonts w:ascii="Arial" w:hAnsi="Arial"/>
                <w:sz w:val="22"/>
                <w:szCs w:val="22"/>
              </w:rPr>
              <w:t xml:space="preserve"> </w:t>
            </w:r>
            <w:r w:rsidRPr="006B48E5">
              <w:rPr>
                <w:rFonts w:ascii="Arial" w:hAnsi="Arial"/>
                <w:b/>
                <w:color w:val="00B050"/>
                <w:sz w:val="22"/>
                <w:szCs w:val="22"/>
              </w:rPr>
              <w:t>(achieved)</w:t>
            </w:r>
            <w:r w:rsidRPr="00D025E8">
              <w:rPr>
                <w:rFonts w:ascii="Arial" w:hAnsi="Arial"/>
                <w:sz w:val="22"/>
                <w:szCs w:val="22"/>
              </w:rPr>
              <w:t xml:space="preserve"> of students</w:t>
            </w:r>
            <w:r>
              <w:rPr>
                <w:rFonts w:ascii="Arial" w:hAnsi="Arial"/>
                <w:sz w:val="22"/>
                <w:szCs w:val="22"/>
              </w:rPr>
              <w:t xml:space="preserve"> (8 of 8 and 3 more)</w:t>
            </w:r>
            <w:r w:rsidRPr="00D025E8">
              <w:rPr>
                <w:rFonts w:ascii="Arial" w:hAnsi="Arial"/>
                <w:sz w:val="22"/>
                <w:szCs w:val="22"/>
              </w:rPr>
              <w:t xml:space="preserve"> identified as high ability “Well Above’ in Maths</w:t>
            </w:r>
          </w:p>
        </w:tc>
      </w:tr>
      <w:tr w:rsidR="00CD50BF" w:rsidRPr="00D025E8" w14:paraId="63CC0ECC" w14:textId="77777777" w:rsidTr="00A95B0D">
        <w:tc>
          <w:tcPr>
            <w:tcW w:w="1526" w:type="dxa"/>
            <w:shd w:val="clear" w:color="auto" w:fill="auto"/>
          </w:tcPr>
          <w:p w14:paraId="392964C6" w14:textId="77777777" w:rsidR="00CD50BF" w:rsidRPr="00D025E8" w:rsidRDefault="00CD50BF" w:rsidP="00A95B0D">
            <w:pPr>
              <w:pStyle w:val="NormalWeb"/>
              <w:spacing w:line="221" w:lineRule="atLeast"/>
              <w:rPr>
                <w:rFonts w:ascii="Arial" w:hAnsi="Arial" w:cs="Arial"/>
                <w:b/>
                <w:color w:val="365F91"/>
                <w:sz w:val="22"/>
                <w:szCs w:val="22"/>
              </w:rPr>
            </w:pPr>
            <w:r w:rsidRPr="00D025E8">
              <w:rPr>
                <w:rFonts w:ascii="Arial" w:hAnsi="Arial" w:cs="Arial"/>
                <w:b/>
                <w:color w:val="365F91"/>
                <w:sz w:val="22"/>
                <w:szCs w:val="22"/>
              </w:rPr>
              <w:t>Totara Team</w:t>
            </w:r>
          </w:p>
        </w:tc>
        <w:tc>
          <w:tcPr>
            <w:tcW w:w="11508" w:type="dxa"/>
            <w:shd w:val="clear" w:color="auto" w:fill="auto"/>
          </w:tcPr>
          <w:p w14:paraId="040BE157" w14:textId="77777777" w:rsidR="00CD50BF" w:rsidRPr="0072269E" w:rsidRDefault="00CD50BF" w:rsidP="00A95B0D">
            <w:pPr>
              <w:rPr>
                <w:color w:val="222222"/>
                <w:lang w:eastAsia="en-NZ"/>
              </w:rPr>
            </w:pPr>
            <w:r w:rsidRPr="0072269E">
              <w:rPr>
                <w:rFonts w:ascii="Arial" w:hAnsi="Arial" w:cs="Arial"/>
                <w:b/>
                <w:bCs/>
                <w:color w:val="365F91"/>
                <w:lang w:eastAsia="en-NZ"/>
              </w:rPr>
              <w:t>Year 7</w:t>
            </w:r>
          </w:p>
          <w:p w14:paraId="56D07F2D" w14:textId="77777777" w:rsidR="00CD50BF" w:rsidRPr="0072269E" w:rsidRDefault="00CD50BF" w:rsidP="00A95B0D">
            <w:pPr>
              <w:rPr>
                <w:color w:val="222222"/>
                <w:lang w:eastAsia="en-NZ"/>
              </w:rPr>
            </w:pPr>
            <w:r w:rsidRPr="0072269E">
              <w:rPr>
                <w:rFonts w:ascii="Arial" w:hAnsi="Arial" w:cs="Arial"/>
                <w:color w:val="222222"/>
                <w:lang w:eastAsia="en-NZ"/>
              </w:rPr>
              <w:t xml:space="preserve">Reading: 50% </w:t>
            </w:r>
            <w:r w:rsidRPr="0072269E">
              <w:rPr>
                <w:rFonts w:ascii="Arial" w:hAnsi="Arial" w:cs="Arial"/>
                <w:b/>
                <w:bCs/>
                <w:color w:val="00B050"/>
                <w:lang w:eastAsia="en-NZ"/>
              </w:rPr>
              <w:t>(not achieved)</w:t>
            </w:r>
            <w:r w:rsidRPr="0072269E">
              <w:rPr>
                <w:rFonts w:ascii="Arial" w:hAnsi="Arial" w:cs="Arial"/>
                <w:color w:val="222222"/>
                <w:lang w:eastAsia="en-NZ"/>
              </w:rPr>
              <w:t> of students identified as high ability achieved “Well Above” in Reading.</w:t>
            </w:r>
          </w:p>
          <w:p w14:paraId="17ABC082" w14:textId="77777777" w:rsidR="00CD50BF" w:rsidRPr="0072269E" w:rsidRDefault="00CD50BF" w:rsidP="00A95B0D">
            <w:pPr>
              <w:rPr>
                <w:color w:val="222222"/>
                <w:lang w:eastAsia="en-NZ"/>
              </w:rPr>
            </w:pPr>
            <w:r w:rsidRPr="0072269E">
              <w:rPr>
                <w:rFonts w:ascii="Arial" w:hAnsi="Arial" w:cs="Arial"/>
                <w:color w:val="222222"/>
                <w:lang w:eastAsia="en-NZ"/>
              </w:rPr>
              <w:t xml:space="preserve">Maths:14 % </w:t>
            </w:r>
            <w:r w:rsidRPr="0072269E">
              <w:rPr>
                <w:rFonts w:ascii="Arial" w:hAnsi="Arial" w:cs="Arial"/>
                <w:b/>
                <w:bCs/>
                <w:color w:val="00B050"/>
                <w:lang w:eastAsia="en-NZ"/>
              </w:rPr>
              <w:t>(not achieved)</w:t>
            </w:r>
            <w:r w:rsidRPr="0072269E">
              <w:rPr>
                <w:rFonts w:ascii="Arial" w:hAnsi="Arial" w:cs="Arial"/>
                <w:color w:val="222222"/>
                <w:lang w:eastAsia="en-NZ"/>
              </w:rPr>
              <w:t> of students identified as high ability achieved “Well Above’ in Maths</w:t>
            </w:r>
          </w:p>
          <w:p w14:paraId="330508EE" w14:textId="77777777" w:rsidR="00CD50BF" w:rsidRPr="0072269E" w:rsidRDefault="00CD50BF" w:rsidP="00A95B0D">
            <w:pPr>
              <w:rPr>
                <w:color w:val="222222"/>
                <w:lang w:eastAsia="en-NZ"/>
              </w:rPr>
            </w:pPr>
            <w:r w:rsidRPr="0072269E">
              <w:rPr>
                <w:rFonts w:ascii="Arial" w:hAnsi="Arial" w:cs="Arial"/>
                <w:b/>
                <w:bCs/>
                <w:color w:val="365F91"/>
                <w:lang w:eastAsia="en-NZ"/>
              </w:rPr>
              <w:t>Year 8</w:t>
            </w:r>
          </w:p>
          <w:p w14:paraId="633453CC" w14:textId="77777777" w:rsidR="00CD50BF" w:rsidRPr="0072269E" w:rsidRDefault="00CD50BF" w:rsidP="00A95B0D">
            <w:pPr>
              <w:rPr>
                <w:color w:val="222222"/>
                <w:lang w:eastAsia="en-NZ"/>
              </w:rPr>
            </w:pPr>
            <w:r w:rsidRPr="0072269E">
              <w:rPr>
                <w:rFonts w:ascii="Arial" w:hAnsi="Arial" w:cs="Arial"/>
                <w:color w:val="222222"/>
                <w:lang w:eastAsia="en-NZ"/>
              </w:rPr>
              <w:t>Reading: 55%</w:t>
            </w:r>
            <w:r w:rsidRPr="0072269E">
              <w:rPr>
                <w:rFonts w:ascii="Arial" w:hAnsi="Arial" w:cs="Arial"/>
                <w:b/>
                <w:bCs/>
                <w:color w:val="00B050"/>
                <w:lang w:eastAsia="en-NZ"/>
              </w:rPr>
              <w:t xml:space="preserve"> (not achieved)</w:t>
            </w:r>
            <w:r w:rsidRPr="0072269E">
              <w:rPr>
                <w:rFonts w:ascii="Arial" w:hAnsi="Arial" w:cs="Arial"/>
                <w:color w:val="222222"/>
                <w:lang w:eastAsia="en-NZ"/>
              </w:rPr>
              <w:t> of students identified as high ability achieved “Well Above” in Reading.</w:t>
            </w:r>
          </w:p>
          <w:p w14:paraId="697FA1EF" w14:textId="77777777" w:rsidR="00CD50BF" w:rsidRPr="0072269E" w:rsidRDefault="00CD50BF" w:rsidP="00A95B0D">
            <w:pPr>
              <w:rPr>
                <w:rFonts w:ascii="Arial" w:hAnsi="Arial" w:cs="Arial"/>
                <w:color w:val="222222"/>
                <w:lang w:eastAsia="en-NZ"/>
              </w:rPr>
            </w:pPr>
            <w:r w:rsidRPr="0072269E">
              <w:rPr>
                <w:rFonts w:ascii="Arial" w:hAnsi="Arial" w:cs="Arial"/>
                <w:color w:val="222222"/>
                <w:lang w:eastAsia="en-NZ"/>
              </w:rPr>
              <w:t xml:space="preserve">Maths: 25% </w:t>
            </w:r>
            <w:r w:rsidRPr="0072269E">
              <w:rPr>
                <w:rFonts w:ascii="Arial" w:hAnsi="Arial" w:cs="Arial"/>
                <w:b/>
                <w:bCs/>
                <w:color w:val="00B050"/>
                <w:lang w:eastAsia="en-NZ"/>
              </w:rPr>
              <w:t>(not/achieved)</w:t>
            </w:r>
            <w:r w:rsidRPr="0072269E">
              <w:rPr>
                <w:rFonts w:ascii="Arial" w:hAnsi="Arial" w:cs="Arial"/>
                <w:color w:val="222222"/>
                <w:lang w:eastAsia="en-NZ"/>
              </w:rPr>
              <w:t> of students identified as high ability achieved “Well Above’ in Maths</w:t>
            </w:r>
          </w:p>
          <w:p w14:paraId="60742C15" w14:textId="77777777" w:rsidR="00CD50BF" w:rsidRPr="00136924" w:rsidRDefault="00CD50BF" w:rsidP="00A95B0D">
            <w:pPr>
              <w:rPr>
                <w:rFonts w:ascii="Arial" w:hAnsi="Arial"/>
              </w:rPr>
            </w:pPr>
            <w:r w:rsidRPr="0072269E">
              <w:rPr>
                <w:rFonts w:ascii="Arial" w:hAnsi="Arial" w:cs="Arial"/>
                <w:b/>
                <w:i/>
                <w:color w:val="00B050"/>
                <w:lang w:eastAsia="en-NZ"/>
              </w:rPr>
              <w:t>This will be a focus for the Totara team in 2015. In the PLG analysis of data there is a sense that we may be being too conservative. We will link with the advisory service and CHS to moderate our OTJ’s</w:t>
            </w:r>
          </w:p>
        </w:tc>
      </w:tr>
    </w:tbl>
    <w:p w14:paraId="26609AE7" w14:textId="77777777" w:rsidR="00CD50BF" w:rsidRDefault="00CD50BF" w:rsidP="00CD50BF">
      <w:pPr>
        <w:pStyle w:val="BodyText"/>
        <w:spacing w:line="276" w:lineRule="auto"/>
        <w:rPr>
          <w:color w:val="222222"/>
          <w:sz w:val="19"/>
          <w:szCs w:val="19"/>
          <w:lang w:val="en-GB" w:eastAsia="en-GB"/>
        </w:rPr>
      </w:pPr>
      <w:r>
        <w:rPr>
          <w:color w:val="222222"/>
          <w:sz w:val="19"/>
          <w:szCs w:val="19"/>
          <w:lang w:val="en-GB" w:eastAsia="en-GB"/>
        </w:rPr>
        <w:t xml:space="preserve"> </w:t>
      </w:r>
    </w:p>
    <w:p w14:paraId="63234DE2" w14:textId="77777777" w:rsidR="00CD50BF" w:rsidRDefault="00CD50BF" w:rsidP="00CD50BF">
      <w:pPr>
        <w:pStyle w:val="BodyText"/>
        <w:spacing w:line="276" w:lineRule="auto"/>
        <w:rPr>
          <w:color w:val="365F91"/>
          <w:sz w:val="22"/>
          <w:szCs w:val="22"/>
          <w:lang w:val="en-GB" w:eastAsia="en-GB"/>
        </w:rPr>
      </w:pPr>
      <w:r w:rsidRPr="007C43FE">
        <w:rPr>
          <w:b/>
          <w:color w:val="365F91"/>
          <w:sz w:val="22"/>
          <w:szCs w:val="22"/>
          <w:lang w:val="en-GB" w:eastAsia="en-GB"/>
        </w:rPr>
        <w:t>Target</w:t>
      </w:r>
      <w:r>
        <w:rPr>
          <w:b/>
          <w:color w:val="365F91"/>
          <w:sz w:val="22"/>
          <w:szCs w:val="22"/>
          <w:lang w:val="en-GB" w:eastAsia="en-GB"/>
        </w:rPr>
        <w:t xml:space="preserve"> 6</w:t>
      </w:r>
      <w:r w:rsidRPr="007C43FE">
        <w:rPr>
          <w:b/>
          <w:color w:val="365F91"/>
          <w:sz w:val="22"/>
          <w:szCs w:val="22"/>
          <w:lang w:val="en-GB" w:eastAsia="en-GB"/>
        </w:rPr>
        <w:t>:</w:t>
      </w:r>
      <w:r>
        <w:rPr>
          <w:color w:val="365F91"/>
          <w:sz w:val="22"/>
          <w:szCs w:val="22"/>
          <w:lang w:val="en-GB" w:eastAsia="en-GB"/>
        </w:rPr>
        <w:t xml:space="preserve"> </w:t>
      </w:r>
    </w:p>
    <w:p w14:paraId="5C6FB942" w14:textId="77777777" w:rsidR="00CD50BF" w:rsidRPr="0036231F" w:rsidRDefault="00CD50BF" w:rsidP="00CD50BF">
      <w:pPr>
        <w:pStyle w:val="BodyText"/>
        <w:spacing w:line="276" w:lineRule="auto"/>
        <w:ind w:left="142"/>
        <w:rPr>
          <w:color w:val="365F91"/>
          <w:sz w:val="22"/>
          <w:szCs w:val="22"/>
          <w:lang w:val="en-GB" w:eastAsia="en-GB"/>
        </w:rPr>
      </w:pPr>
      <w:r>
        <w:rPr>
          <w:color w:val="365F91"/>
          <w:sz w:val="22"/>
          <w:szCs w:val="22"/>
          <w:lang w:val="en-GB" w:eastAsia="en-GB"/>
        </w:rPr>
        <w:t>Have the teachers of these children demonstrate the evidence based differentiated programme and can track the progress towards the above target.</w:t>
      </w:r>
    </w:p>
    <w:p w14:paraId="4522F0DE" w14:textId="77777777" w:rsidR="00CD50BF" w:rsidRPr="008B3B3A" w:rsidRDefault="00CD50BF" w:rsidP="00CD50BF">
      <w:pPr>
        <w:pStyle w:val="BodyText"/>
        <w:spacing w:line="276" w:lineRule="auto"/>
        <w:ind w:left="153" w:hanging="720"/>
        <w:rPr>
          <w:sz w:val="22"/>
          <w:szCs w:val="22"/>
          <w:lang w:val="en-GB" w:eastAsia="en-GB"/>
        </w:rPr>
      </w:pPr>
      <w:r>
        <w:rPr>
          <w:color w:val="365F91"/>
          <w:sz w:val="22"/>
          <w:szCs w:val="22"/>
          <w:lang w:val="en-GB" w:eastAsia="en-GB"/>
        </w:rPr>
        <w:t xml:space="preserve">           </w:t>
      </w:r>
      <w:r w:rsidRPr="00217B71">
        <w:rPr>
          <w:b/>
          <w:color w:val="365F91"/>
          <w:sz w:val="22"/>
          <w:szCs w:val="22"/>
          <w:lang w:val="en-GB" w:eastAsia="en-GB"/>
        </w:rPr>
        <w:t>Results:</w:t>
      </w:r>
      <w:r>
        <w:rPr>
          <w:sz w:val="22"/>
          <w:szCs w:val="22"/>
          <w:lang w:val="en-GB" w:eastAsia="en-GB"/>
        </w:rPr>
        <w:t xml:space="preserve"> This target was met. Using learning walks by the principal, team leaders and peer support along with appraisal interviews all teachers were able to identify high ability and high performing students and could provide evidence of a differentiated programme being offered to these children.</w:t>
      </w:r>
    </w:p>
    <w:p w14:paraId="687F50F5" w14:textId="77777777" w:rsidR="00CD50BF" w:rsidRDefault="00CD50BF" w:rsidP="00CD50BF">
      <w:pPr>
        <w:pStyle w:val="BodyText"/>
        <w:spacing w:line="276" w:lineRule="auto"/>
        <w:ind w:left="153" w:hanging="11"/>
        <w:rPr>
          <w:b/>
          <w:color w:val="365F91"/>
          <w:sz w:val="22"/>
          <w:szCs w:val="22"/>
          <w:lang w:val="en-GB" w:eastAsia="en-GB"/>
        </w:rPr>
      </w:pPr>
      <w:r w:rsidRPr="007C43FE">
        <w:rPr>
          <w:b/>
          <w:color w:val="365F91"/>
          <w:sz w:val="22"/>
          <w:szCs w:val="22"/>
          <w:highlight w:val="yellow"/>
          <w:lang w:val="en-GB" w:eastAsia="en-GB"/>
        </w:rPr>
        <w:t>Teacher Practice</w:t>
      </w:r>
    </w:p>
    <w:p w14:paraId="7751BED0" w14:textId="77777777" w:rsidR="00CD50BF" w:rsidRDefault="00CD50BF" w:rsidP="00CD50BF">
      <w:pPr>
        <w:pStyle w:val="BodyText"/>
        <w:spacing w:line="276" w:lineRule="auto"/>
        <w:ind w:left="153" w:hanging="11"/>
        <w:rPr>
          <w:b/>
          <w:color w:val="365F91"/>
          <w:sz w:val="22"/>
          <w:szCs w:val="22"/>
          <w:lang w:val="en-GB" w:eastAsia="en-GB"/>
        </w:rPr>
      </w:pPr>
      <w:r>
        <w:rPr>
          <w:b/>
          <w:color w:val="365F91"/>
          <w:sz w:val="22"/>
          <w:szCs w:val="22"/>
          <w:lang w:val="en-GB" w:eastAsia="en-GB"/>
        </w:rPr>
        <w:t xml:space="preserve">Strategic Goal 4: </w:t>
      </w:r>
    </w:p>
    <w:p w14:paraId="16121C6A" w14:textId="77777777" w:rsidR="00CD50BF" w:rsidRDefault="00CD50BF" w:rsidP="00CD50BF">
      <w:pPr>
        <w:pStyle w:val="BodyText"/>
        <w:spacing w:line="276" w:lineRule="auto"/>
        <w:ind w:left="153" w:hanging="11"/>
        <w:rPr>
          <w:b/>
          <w:color w:val="365F91"/>
          <w:sz w:val="22"/>
          <w:szCs w:val="22"/>
          <w:lang w:val="en-GB" w:eastAsia="en-GB"/>
        </w:rPr>
      </w:pPr>
      <w:r>
        <w:rPr>
          <w:b/>
          <w:color w:val="365F91"/>
          <w:sz w:val="22"/>
          <w:szCs w:val="22"/>
          <w:lang w:val="en-GB" w:eastAsia="en-GB"/>
        </w:rPr>
        <w:t>That all classroom teachers demonstrate an understanding of and can articulate the pedagogy of the school</w:t>
      </w:r>
    </w:p>
    <w:p w14:paraId="4FD8C2E2" w14:textId="77777777" w:rsidR="00CD50BF" w:rsidRPr="00ED53B9" w:rsidRDefault="00CD50BF" w:rsidP="00CD50BF">
      <w:pPr>
        <w:pStyle w:val="BodyText"/>
        <w:spacing w:line="276" w:lineRule="auto"/>
        <w:ind w:left="153" w:hanging="11"/>
        <w:rPr>
          <w:sz w:val="22"/>
          <w:szCs w:val="22"/>
          <w:lang w:val="en-GB" w:eastAsia="en-GB"/>
        </w:rPr>
      </w:pPr>
      <w:r w:rsidRPr="00217B71">
        <w:rPr>
          <w:b/>
          <w:color w:val="365F91"/>
          <w:sz w:val="22"/>
          <w:szCs w:val="22"/>
          <w:lang w:val="en-GB" w:eastAsia="en-GB"/>
        </w:rPr>
        <w:t>Results:</w:t>
      </w:r>
      <w:r>
        <w:rPr>
          <w:sz w:val="22"/>
          <w:szCs w:val="22"/>
          <w:lang w:val="en-GB" w:eastAsia="en-GB"/>
        </w:rPr>
        <w:t xml:space="preserve"> Using learning walks by the principal, team leaders and peer support including teaching as Inquiry reports and appraisal interviews all teachers were able to demonstrate an understanding and could articulate the pedagogy of the school to a greater or lesser extent.</w:t>
      </w:r>
    </w:p>
    <w:p w14:paraId="49B930AB" w14:textId="77777777" w:rsidR="00CD50BF" w:rsidRDefault="00CD50BF" w:rsidP="00CD50BF">
      <w:pPr>
        <w:pStyle w:val="BodyText"/>
        <w:spacing w:line="276" w:lineRule="auto"/>
        <w:rPr>
          <w:b/>
          <w:color w:val="365F91"/>
          <w:sz w:val="22"/>
          <w:szCs w:val="22"/>
          <w:lang w:val="en-GB" w:eastAsia="en-GB"/>
        </w:rPr>
      </w:pPr>
      <w:r>
        <w:rPr>
          <w:b/>
          <w:color w:val="365F91"/>
          <w:sz w:val="22"/>
          <w:szCs w:val="22"/>
          <w:lang w:val="en-GB" w:eastAsia="en-GB"/>
        </w:rPr>
        <w:t xml:space="preserve">  Target 7: </w:t>
      </w:r>
    </w:p>
    <w:p w14:paraId="608CDE6B" w14:textId="77777777" w:rsidR="00CD50BF" w:rsidRDefault="00CD50BF" w:rsidP="00CD50BF">
      <w:pPr>
        <w:pStyle w:val="BodyText"/>
        <w:spacing w:line="276" w:lineRule="auto"/>
        <w:ind w:left="153" w:hanging="11"/>
        <w:rPr>
          <w:b/>
          <w:color w:val="365F91"/>
          <w:sz w:val="22"/>
          <w:szCs w:val="22"/>
          <w:lang w:val="en-GB" w:eastAsia="en-GB"/>
        </w:rPr>
      </w:pPr>
      <w:r>
        <w:rPr>
          <w:b/>
          <w:color w:val="365F91"/>
          <w:sz w:val="22"/>
          <w:szCs w:val="22"/>
          <w:lang w:val="en-GB" w:eastAsia="en-GB"/>
        </w:rPr>
        <w:t>Differentiated explicit teaching programmes in literacy and mathematics operate in 100% of classrooms</w:t>
      </w:r>
    </w:p>
    <w:p w14:paraId="173DA7F5" w14:textId="77777777" w:rsidR="00CD50BF" w:rsidRDefault="00CD50BF" w:rsidP="00CD50BF">
      <w:pPr>
        <w:pStyle w:val="BodyText"/>
        <w:spacing w:line="276" w:lineRule="auto"/>
        <w:ind w:left="153" w:hanging="11"/>
        <w:rPr>
          <w:sz w:val="22"/>
          <w:szCs w:val="22"/>
          <w:lang w:val="en-GB" w:eastAsia="en-GB"/>
        </w:rPr>
      </w:pPr>
      <w:r w:rsidRPr="00217B71">
        <w:rPr>
          <w:b/>
          <w:color w:val="365F91"/>
          <w:sz w:val="22"/>
          <w:szCs w:val="22"/>
          <w:lang w:val="en-GB" w:eastAsia="en-GB"/>
        </w:rPr>
        <w:t>Results:</w:t>
      </w:r>
      <w:r>
        <w:rPr>
          <w:sz w:val="22"/>
          <w:szCs w:val="22"/>
          <w:lang w:val="en-GB" w:eastAsia="en-GB"/>
        </w:rPr>
        <w:t xml:space="preserve"> This target was met. We know this by using evidence from learning walks by the principal, team leaders and appraisal interviews.</w:t>
      </w:r>
    </w:p>
    <w:p w14:paraId="336129DC" w14:textId="77777777" w:rsidR="00CD50BF" w:rsidRPr="008B3B3A" w:rsidRDefault="00CD50BF" w:rsidP="00CD50BF">
      <w:pPr>
        <w:pStyle w:val="BodyText"/>
        <w:spacing w:line="276" w:lineRule="auto"/>
        <w:ind w:left="153" w:hanging="11"/>
        <w:rPr>
          <w:sz w:val="22"/>
          <w:szCs w:val="22"/>
          <w:lang w:val="en-GB" w:eastAsia="en-GB"/>
        </w:rPr>
      </w:pPr>
      <w:r>
        <w:rPr>
          <w:b/>
          <w:color w:val="365F91"/>
          <w:sz w:val="22"/>
          <w:szCs w:val="22"/>
          <w:lang w:val="en-GB" w:eastAsia="en-GB"/>
        </w:rPr>
        <w:t xml:space="preserve">Target 8: </w:t>
      </w:r>
    </w:p>
    <w:p w14:paraId="318FBE2E" w14:textId="77777777" w:rsidR="00CD50BF" w:rsidRDefault="00CD50BF" w:rsidP="00CD50BF">
      <w:pPr>
        <w:pStyle w:val="BodyText"/>
        <w:spacing w:line="276" w:lineRule="auto"/>
        <w:ind w:left="153" w:hanging="11"/>
        <w:rPr>
          <w:b/>
          <w:color w:val="365F91"/>
          <w:sz w:val="22"/>
          <w:szCs w:val="22"/>
          <w:lang w:val="en-GB" w:eastAsia="en-GB"/>
        </w:rPr>
      </w:pPr>
      <w:r>
        <w:rPr>
          <w:b/>
          <w:color w:val="365F91"/>
          <w:sz w:val="22"/>
          <w:szCs w:val="22"/>
          <w:lang w:val="en-GB" w:eastAsia="en-GB"/>
        </w:rPr>
        <w:t>That 100% of classroom teachers know the individual needs, strengths and next steps of their students and can demonstrate evidence based classroom planning and delivery to meet these.</w:t>
      </w:r>
    </w:p>
    <w:p w14:paraId="727FBBB5" w14:textId="77777777" w:rsidR="00CD50BF" w:rsidRDefault="00CD50BF" w:rsidP="00CD50BF">
      <w:pPr>
        <w:pStyle w:val="BodyText"/>
        <w:spacing w:line="276" w:lineRule="auto"/>
        <w:ind w:left="153" w:hanging="11"/>
        <w:rPr>
          <w:sz w:val="22"/>
          <w:szCs w:val="22"/>
          <w:lang w:val="en-GB" w:eastAsia="en-GB"/>
        </w:rPr>
      </w:pPr>
      <w:r w:rsidRPr="00217B71">
        <w:rPr>
          <w:b/>
          <w:color w:val="365F91"/>
          <w:sz w:val="22"/>
          <w:szCs w:val="22"/>
          <w:lang w:val="en-GB" w:eastAsia="en-GB"/>
        </w:rPr>
        <w:t>Results:</w:t>
      </w:r>
      <w:r>
        <w:rPr>
          <w:sz w:val="22"/>
          <w:szCs w:val="22"/>
          <w:lang w:val="en-GB" w:eastAsia="en-GB"/>
        </w:rPr>
        <w:t xml:space="preserve"> This target was met. We know this by using evidence from learning walks by the principal, team leaders and appraisal interviews.</w:t>
      </w:r>
    </w:p>
    <w:p w14:paraId="2950F628" w14:textId="77777777" w:rsidR="000242BA" w:rsidRDefault="000242BA"/>
    <w:sectPr w:rsidR="000242BA" w:rsidSect="00382D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430E"/>
    <w:multiLevelType w:val="hybridMultilevel"/>
    <w:tmpl w:val="F6085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13A7417"/>
    <w:multiLevelType w:val="hybridMultilevel"/>
    <w:tmpl w:val="EEC0DC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226321"/>
    <w:multiLevelType w:val="multilevel"/>
    <w:tmpl w:val="829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F3BAF"/>
    <w:multiLevelType w:val="hybridMultilevel"/>
    <w:tmpl w:val="61DE1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5B40D5"/>
    <w:multiLevelType w:val="hybridMultilevel"/>
    <w:tmpl w:val="BDE0A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6C5524D"/>
    <w:multiLevelType w:val="multilevel"/>
    <w:tmpl w:val="560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2D497D"/>
    <w:multiLevelType w:val="multilevel"/>
    <w:tmpl w:val="F9AE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E6067"/>
    <w:multiLevelType w:val="multilevel"/>
    <w:tmpl w:val="4B8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646C2"/>
    <w:multiLevelType w:val="hybridMultilevel"/>
    <w:tmpl w:val="CA48C15C"/>
    <w:lvl w:ilvl="0" w:tplc="14090001">
      <w:start w:val="1"/>
      <w:numFmt w:val="bullet"/>
      <w:lvlText w:val=""/>
      <w:lvlJc w:val="left"/>
      <w:pPr>
        <w:ind w:left="845" w:hanging="360"/>
      </w:pPr>
      <w:rPr>
        <w:rFonts w:ascii="Symbol" w:hAnsi="Symbol"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4"/>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BF"/>
    <w:rsid w:val="000242BA"/>
    <w:rsid w:val="00382D5B"/>
    <w:rsid w:val="004A1A7F"/>
    <w:rsid w:val="00CD5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04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BF"/>
    <w:pPr>
      <w:spacing w:after="200" w:line="276" w:lineRule="auto"/>
    </w:pPr>
    <w:rPr>
      <w:rFonts w:eastAsiaTheme="minorHAnsi"/>
      <w:sz w:val="22"/>
      <w:szCs w:val="22"/>
      <w:lang w:val="en-NZ"/>
    </w:rPr>
  </w:style>
  <w:style w:type="paragraph" w:styleId="Heading1">
    <w:name w:val="heading 1"/>
    <w:basedOn w:val="Normal"/>
    <w:next w:val="Normal"/>
    <w:link w:val="Heading1Char"/>
    <w:uiPriority w:val="9"/>
    <w:qFormat/>
    <w:rsid w:val="00CD5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50B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CD50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BF"/>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rsid w:val="00CD50BF"/>
    <w:rPr>
      <w:rFonts w:asciiTheme="majorHAnsi" w:eastAsiaTheme="majorEastAsia" w:hAnsiTheme="majorHAnsi" w:cstheme="majorBidi"/>
      <w:b/>
      <w:bCs/>
      <w:color w:val="4F81BD" w:themeColor="accent1"/>
      <w:sz w:val="26"/>
      <w:szCs w:val="26"/>
      <w:lang w:val="en-NZ"/>
    </w:rPr>
  </w:style>
  <w:style w:type="character" w:customStyle="1" w:styleId="Heading3Char">
    <w:name w:val="Heading 3 Char"/>
    <w:basedOn w:val="DefaultParagraphFont"/>
    <w:link w:val="Heading3"/>
    <w:uiPriority w:val="9"/>
    <w:semiHidden/>
    <w:rsid w:val="00CD50BF"/>
    <w:rPr>
      <w:rFonts w:asciiTheme="majorHAnsi" w:eastAsiaTheme="majorEastAsia" w:hAnsiTheme="majorHAnsi" w:cstheme="majorBidi"/>
      <w:b/>
      <w:bCs/>
      <w:color w:val="4F81BD" w:themeColor="accent1"/>
      <w:sz w:val="22"/>
      <w:szCs w:val="22"/>
      <w:lang w:val="en-NZ"/>
    </w:rPr>
  </w:style>
  <w:style w:type="character" w:customStyle="1" w:styleId="Heading7Char">
    <w:name w:val="Heading 7 Char"/>
    <w:basedOn w:val="DefaultParagraphFont"/>
    <w:link w:val="Heading7"/>
    <w:uiPriority w:val="9"/>
    <w:rsid w:val="00CD50BF"/>
    <w:rPr>
      <w:rFonts w:asciiTheme="majorHAnsi" w:eastAsiaTheme="majorEastAsia" w:hAnsiTheme="majorHAnsi" w:cstheme="majorBidi"/>
      <w:i/>
      <w:iCs/>
      <w:color w:val="404040" w:themeColor="text1" w:themeTint="BF"/>
      <w:sz w:val="22"/>
      <w:szCs w:val="22"/>
      <w:lang w:val="en-NZ"/>
    </w:rPr>
  </w:style>
  <w:style w:type="paragraph" w:styleId="BalloonText">
    <w:name w:val="Balloon Text"/>
    <w:basedOn w:val="Normal"/>
    <w:link w:val="BalloonTextChar"/>
    <w:uiPriority w:val="99"/>
    <w:semiHidden/>
    <w:unhideWhenUsed/>
    <w:rsid w:val="00CD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F"/>
    <w:rPr>
      <w:rFonts w:ascii="Tahoma" w:eastAsiaTheme="minorHAnsi" w:hAnsi="Tahoma" w:cs="Tahoma"/>
      <w:sz w:val="16"/>
      <w:szCs w:val="16"/>
      <w:lang w:val="en-NZ"/>
    </w:rPr>
  </w:style>
  <w:style w:type="character" w:styleId="Hyperlink">
    <w:name w:val="Hyperlink"/>
    <w:basedOn w:val="DefaultParagraphFont"/>
    <w:uiPriority w:val="99"/>
    <w:unhideWhenUsed/>
    <w:rsid w:val="00CD50BF"/>
    <w:rPr>
      <w:color w:val="0000FF" w:themeColor="hyperlink"/>
      <w:u w:val="single"/>
    </w:rPr>
  </w:style>
  <w:style w:type="character" w:styleId="FollowedHyperlink">
    <w:name w:val="FollowedHyperlink"/>
    <w:basedOn w:val="DefaultParagraphFont"/>
    <w:uiPriority w:val="99"/>
    <w:semiHidden/>
    <w:unhideWhenUsed/>
    <w:rsid w:val="00CD50BF"/>
    <w:rPr>
      <w:color w:val="800080" w:themeColor="followedHyperlink"/>
      <w:u w:val="single"/>
    </w:rPr>
  </w:style>
  <w:style w:type="paragraph" w:styleId="NormalWeb">
    <w:name w:val="Normal (Web)"/>
    <w:basedOn w:val="Normal"/>
    <w:uiPriority w:val="99"/>
    <w:unhideWhenUsed/>
    <w:rsid w:val="00CD50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D50BF"/>
    <w:rPr>
      <w:i/>
      <w:iCs/>
    </w:rPr>
  </w:style>
  <w:style w:type="character" w:customStyle="1" w:styleId="apple-converted-space">
    <w:name w:val="apple-converted-space"/>
    <w:basedOn w:val="DefaultParagraphFont"/>
    <w:rsid w:val="00CD50BF"/>
  </w:style>
  <w:style w:type="paragraph" w:styleId="ListParagraph">
    <w:name w:val="List Paragraph"/>
    <w:basedOn w:val="Normal"/>
    <w:uiPriority w:val="34"/>
    <w:qFormat/>
    <w:rsid w:val="00CD50BF"/>
    <w:pPr>
      <w:ind w:left="720"/>
      <w:contextualSpacing/>
    </w:pPr>
  </w:style>
  <w:style w:type="table" w:styleId="TableGrid">
    <w:name w:val="Table Grid"/>
    <w:basedOn w:val="TableNormal"/>
    <w:uiPriority w:val="59"/>
    <w:rsid w:val="00CD50BF"/>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D50BF"/>
    <w:pPr>
      <w:spacing w:before="120" w:after="60" w:line="240" w:lineRule="auto"/>
    </w:pPr>
    <w:rPr>
      <w:rFonts w:ascii="Arial" w:eastAsia="Times New Roman" w:hAnsi="Arial" w:cs="Arial"/>
      <w:sz w:val="20"/>
      <w:szCs w:val="20"/>
      <w:lang w:val="en-AU"/>
    </w:rPr>
  </w:style>
  <w:style w:type="character" w:customStyle="1" w:styleId="BodyTextChar">
    <w:name w:val="Body Text Char"/>
    <w:basedOn w:val="DefaultParagraphFont"/>
    <w:link w:val="BodyText"/>
    <w:uiPriority w:val="99"/>
    <w:rsid w:val="00CD50BF"/>
    <w:rPr>
      <w:rFonts w:ascii="Arial" w:eastAsia="Times New Roman" w:hAnsi="Arial" w:cs="Arial"/>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BF"/>
    <w:pPr>
      <w:spacing w:after="200" w:line="276" w:lineRule="auto"/>
    </w:pPr>
    <w:rPr>
      <w:rFonts w:eastAsiaTheme="minorHAnsi"/>
      <w:sz w:val="22"/>
      <w:szCs w:val="22"/>
      <w:lang w:val="en-NZ"/>
    </w:rPr>
  </w:style>
  <w:style w:type="paragraph" w:styleId="Heading1">
    <w:name w:val="heading 1"/>
    <w:basedOn w:val="Normal"/>
    <w:next w:val="Normal"/>
    <w:link w:val="Heading1Char"/>
    <w:uiPriority w:val="9"/>
    <w:qFormat/>
    <w:rsid w:val="00CD5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50B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CD50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BF"/>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rsid w:val="00CD50BF"/>
    <w:rPr>
      <w:rFonts w:asciiTheme="majorHAnsi" w:eastAsiaTheme="majorEastAsia" w:hAnsiTheme="majorHAnsi" w:cstheme="majorBidi"/>
      <w:b/>
      <w:bCs/>
      <w:color w:val="4F81BD" w:themeColor="accent1"/>
      <w:sz w:val="26"/>
      <w:szCs w:val="26"/>
      <w:lang w:val="en-NZ"/>
    </w:rPr>
  </w:style>
  <w:style w:type="character" w:customStyle="1" w:styleId="Heading3Char">
    <w:name w:val="Heading 3 Char"/>
    <w:basedOn w:val="DefaultParagraphFont"/>
    <w:link w:val="Heading3"/>
    <w:uiPriority w:val="9"/>
    <w:semiHidden/>
    <w:rsid w:val="00CD50BF"/>
    <w:rPr>
      <w:rFonts w:asciiTheme="majorHAnsi" w:eastAsiaTheme="majorEastAsia" w:hAnsiTheme="majorHAnsi" w:cstheme="majorBidi"/>
      <w:b/>
      <w:bCs/>
      <w:color w:val="4F81BD" w:themeColor="accent1"/>
      <w:sz w:val="22"/>
      <w:szCs w:val="22"/>
      <w:lang w:val="en-NZ"/>
    </w:rPr>
  </w:style>
  <w:style w:type="character" w:customStyle="1" w:styleId="Heading7Char">
    <w:name w:val="Heading 7 Char"/>
    <w:basedOn w:val="DefaultParagraphFont"/>
    <w:link w:val="Heading7"/>
    <w:uiPriority w:val="9"/>
    <w:rsid w:val="00CD50BF"/>
    <w:rPr>
      <w:rFonts w:asciiTheme="majorHAnsi" w:eastAsiaTheme="majorEastAsia" w:hAnsiTheme="majorHAnsi" w:cstheme="majorBidi"/>
      <w:i/>
      <w:iCs/>
      <w:color w:val="404040" w:themeColor="text1" w:themeTint="BF"/>
      <w:sz w:val="22"/>
      <w:szCs w:val="22"/>
      <w:lang w:val="en-NZ"/>
    </w:rPr>
  </w:style>
  <w:style w:type="paragraph" w:styleId="BalloonText">
    <w:name w:val="Balloon Text"/>
    <w:basedOn w:val="Normal"/>
    <w:link w:val="BalloonTextChar"/>
    <w:uiPriority w:val="99"/>
    <w:semiHidden/>
    <w:unhideWhenUsed/>
    <w:rsid w:val="00CD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F"/>
    <w:rPr>
      <w:rFonts w:ascii="Tahoma" w:eastAsiaTheme="minorHAnsi" w:hAnsi="Tahoma" w:cs="Tahoma"/>
      <w:sz w:val="16"/>
      <w:szCs w:val="16"/>
      <w:lang w:val="en-NZ"/>
    </w:rPr>
  </w:style>
  <w:style w:type="character" w:styleId="Hyperlink">
    <w:name w:val="Hyperlink"/>
    <w:basedOn w:val="DefaultParagraphFont"/>
    <w:uiPriority w:val="99"/>
    <w:unhideWhenUsed/>
    <w:rsid w:val="00CD50BF"/>
    <w:rPr>
      <w:color w:val="0000FF" w:themeColor="hyperlink"/>
      <w:u w:val="single"/>
    </w:rPr>
  </w:style>
  <w:style w:type="character" w:styleId="FollowedHyperlink">
    <w:name w:val="FollowedHyperlink"/>
    <w:basedOn w:val="DefaultParagraphFont"/>
    <w:uiPriority w:val="99"/>
    <w:semiHidden/>
    <w:unhideWhenUsed/>
    <w:rsid w:val="00CD50BF"/>
    <w:rPr>
      <w:color w:val="800080" w:themeColor="followedHyperlink"/>
      <w:u w:val="single"/>
    </w:rPr>
  </w:style>
  <w:style w:type="paragraph" w:styleId="NormalWeb">
    <w:name w:val="Normal (Web)"/>
    <w:basedOn w:val="Normal"/>
    <w:uiPriority w:val="99"/>
    <w:unhideWhenUsed/>
    <w:rsid w:val="00CD50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D50BF"/>
    <w:rPr>
      <w:i/>
      <w:iCs/>
    </w:rPr>
  </w:style>
  <w:style w:type="character" w:customStyle="1" w:styleId="apple-converted-space">
    <w:name w:val="apple-converted-space"/>
    <w:basedOn w:val="DefaultParagraphFont"/>
    <w:rsid w:val="00CD50BF"/>
  </w:style>
  <w:style w:type="paragraph" w:styleId="ListParagraph">
    <w:name w:val="List Paragraph"/>
    <w:basedOn w:val="Normal"/>
    <w:uiPriority w:val="34"/>
    <w:qFormat/>
    <w:rsid w:val="00CD50BF"/>
    <w:pPr>
      <w:ind w:left="720"/>
      <w:contextualSpacing/>
    </w:pPr>
  </w:style>
  <w:style w:type="table" w:styleId="TableGrid">
    <w:name w:val="Table Grid"/>
    <w:basedOn w:val="TableNormal"/>
    <w:uiPriority w:val="59"/>
    <w:rsid w:val="00CD50BF"/>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D50BF"/>
    <w:pPr>
      <w:spacing w:before="120" w:after="60" w:line="240" w:lineRule="auto"/>
    </w:pPr>
    <w:rPr>
      <w:rFonts w:ascii="Arial" w:eastAsia="Times New Roman" w:hAnsi="Arial" w:cs="Arial"/>
      <w:sz w:val="20"/>
      <w:szCs w:val="20"/>
      <w:lang w:val="en-AU"/>
    </w:rPr>
  </w:style>
  <w:style w:type="character" w:customStyle="1" w:styleId="BodyTextChar">
    <w:name w:val="Body Text Char"/>
    <w:basedOn w:val="DefaultParagraphFont"/>
    <w:link w:val="BodyText"/>
    <w:uiPriority w:val="99"/>
    <w:rsid w:val="00CD50BF"/>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chart" Target="charts/chart8.xml"/><Relationship Id="rId14" Type="http://schemas.openxmlformats.org/officeDocument/2006/relationships/chart" Target="charts/chart9.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file:///C:\Teacher%20Read\assessment%20for%20learning\Data%20school%20wide\2015\SOY%202014%20Data%20analysis%20for%202015%20targets\cashmere%20figur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a:t>Whole School Mathematics</a:t>
            </a:r>
          </a:p>
        </c:rich>
      </c:tx>
      <c:overlay val="0"/>
    </c:title>
    <c:autoTitleDeleted val="0"/>
    <c:plotArea>
      <c:layout/>
      <c:barChart>
        <c:barDir val="col"/>
        <c:grouping val="clustered"/>
        <c:varyColors val="0"/>
        <c:ser>
          <c:idx val="0"/>
          <c:order val="0"/>
          <c:tx>
            <c:strRef>
              <c:f>'whole school Maths 2014'!$B$4</c:f>
              <c:strCache>
                <c:ptCount val="1"/>
                <c:pt idx="0">
                  <c:v>2011</c:v>
                </c:pt>
              </c:strCache>
            </c:strRef>
          </c:tx>
          <c:invertIfNegative val="0"/>
          <c:cat>
            <c:strRef>
              <c:f>'whole school Maths 2014'!$C$3:$F$3</c:f>
              <c:strCache>
                <c:ptCount val="4"/>
                <c:pt idx="0">
                  <c:v>Above / Well above</c:v>
                </c:pt>
                <c:pt idx="1">
                  <c:v>At</c:v>
                </c:pt>
                <c:pt idx="2">
                  <c:v>below</c:v>
                </c:pt>
                <c:pt idx="3">
                  <c:v>Well below</c:v>
                </c:pt>
              </c:strCache>
            </c:strRef>
          </c:cat>
          <c:val>
            <c:numRef>
              <c:f>'whole school Maths 2014'!$C$4:$F$4</c:f>
              <c:numCache>
                <c:formatCode>General</c:formatCode>
                <c:ptCount val="4"/>
                <c:pt idx="0">
                  <c:v>33.5</c:v>
                </c:pt>
                <c:pt idx="1">
                  <c:v>52.375</c:v>
                </c:pt>
                <c:pt idx="2">
                  <c:v>9.5</c:v>
                </c:pt>
                <c:pt idx="3">
                  <c:v>4.375</c:v>
                </c:pt>
              </c:numCache>
            </c:numRef>
          </c:val>
        </c:ser>
        <c:ser>
          <c:idx val="1"/>
          <c:order val="1"/>
          <c:tx>
            <c:strRef>
              <c:f>'whole school Maths 2014'!$B$5</c:f>
              <c:strCache>
                <c:ptCount val="1"/>
                <c:pt idx="0">
                  <c:v>2012</c:v>
                </c:pt>
              </c:strCache>
            </c:strRef>
          </c:tx>
          <c:invertIfNegative val="0"/>
          <c:cat>
            <c:strRef>
              <c:f>'whole school Maths 2014'!$C$3:$F$3</c:f>
              <c:strCache>
                <c:ptCount val="4"/>
                <c:pt idx="0">
                  <c:v>Above / Well above</c:v>
                </c:pt>
                <c:pt idx="1">
                  <c:v>At</c:v>
                </c:pt>
                <c:pt idx="2">
                  <c:v>below</c:v>
                </c:pt>
                <c:pt idx="3">
                  <c:v>Well below</c:v>
                </c:pt>
              </c:strCache>
            </c:strRef>
          </c:cat>
          <c:val>
            <c:numRef>
              <c:f>'whole school Maths 2014'!$C$5:$F$5</c:f>
              <c:numCache>
                <c:formatCode>General</c:formatCode>
                <c:ptCount val="4"/>
                <c:pt idx="0">
                  <c:v>43.0</c:v>
                </c:pt>
                <c:pt idx="1">
                  <c:v>46.75</c:v>
                </c:pt>
                <c:pt idx="2">
                  <c:v>7.75</c:v>
                </c:pt>
                <c:pt idx="3">
                  <c:v>3.0</c:v>
                </c:pt>
              </c:numCache>
            </c:numRef>
          </c:val>
        </c:ser>
        <c:ser>
          <c:idx val="2"/>
          <c:order val="2"/>
          <c:tx>
            <c:strRef>
              <c:f>'whole school Maths 2014'!$B$6</c:f>
              <c:strCache>
                <c:ptCount val="1"/>
                <c:pt idx="0">
                  <c:v>2013</c:v>
                </c:pt>
              </c:strCache>
            </c:strRef>
          </c:tx>
          <c:invertIfNegative val="0"/>
          <c:cat>
            <c:strRef>
              <c:f>'whole school Maths 2014'!$C$3:$F$3</c:f>
              <c:strCache>
                <c:ptCount val="4"/>
                <c:pt idx="0">
                  <c:v>Above / Well above</c:v>
                </c:pt>
                <c:pt idx="1">
                  <c:v>At</c:v>
                </c:pt>
                <c:pt idx="2">
                  <c:v>below</c:v>
                </c:pt>
                <c:pt idx="3">
                  <c:v>Well below</c:v>
                </c:pt>
              </c:strCache>
            </c:strRef>
          </c:cat>
          <c:val>
            <c:numRef>
              <c:f>'whole school Maths 2014'!$C$6:$F$6</c:f>
              <c:numCache>
                <c:formatCode>General</c:formatCode>
                <c:ptCount val="4"/>
                <c:pt idx="0">
                  <c:v>39.0</c:v>
                </c:pt>
                <c:pt idx="1">
                  <c:v>50.0</c:v>
                </c:pt>
                <c:pt idx="2">
                  <c:v>9.375</c:v>
                </c:pt>
                <c:pt idx="3">
                  <c:v>2.25</c:v>
                </c:pt>
              </c:numCache>
            </c:numRef>
          </c:val>
        </c:ser>
        <c:ser>
          <c:idx val="3"/>
          <c:order val="3"/>
          <c:tx>
            <c:strRef>
              <c:f>'whole school Maths 2014'!$B$7</c:f>
              <c:strCache>
                <c:ptCount val="1"/>
                <c:pt idx="0">
                  <c:v>2014</c:v>
                </c:pt>
              </c:strCache>
            </c:strRef>
          </c:tx>
          <c:invertIfNegative val="0"/>
          <c:cat>
            <c:strRef>
              <c:f>'whole school Maths 2014'!$C$3:$F$3</c:f>
              <c:strCache>
                <c:ptCount val="4"/>
                <c:pt idx="0">
                  <c:v>Above / Well above</c:v>
                </c:pt>
                <c:pt idx="1">
                  <c:v>At</c:v>
                </c:pt>
                <c:pt idx="2">
                  <c:v>below</c:v>
                </c:pt>
                <c:pt idx="3">
                  <c:v>Well below</c:v>
                </c:pt>
              </c:strCache>
            </c:strRef>
          </c:cat>
          <c:val>
            <c:numRef>
              <c:f>'whole school Maths 2014'!$C$7:$F$7</c:f>
              <c:numCache>
                <c:formatCode>#,##0</c:formatCode>
                <c:ptCount val="4"/>
                <c:pt idx="0">
                  <c:v>45.09394572025053</c:v>
                </c:pt>
                <c:pt idx="1">
                  <c:v>48.43423799582462</c:v>
                </c:pt>
                <c:pt idx="2">
                  <c:v>4.592901878914398</c:v>
                </c:pt>
                <c:pt idx="3" formatCode="##0">
                  <c:v>1.878914405010438</c:v>
                </c:pt>
              </c:numCache>
            </c:numRef>
          </c:val>
        </c:ser>
        <c:dLbls>
          <c:showLegendKey val="0"/>
          <c:showVal val="0"/>
          <c:showCatName val="0"/>
          <c:showSerName val="0"/>
          <c:showPercent val="0"/>
          <c:showBubbleSize val="0"/>
        </c:dLbls>
        <c:gapWidth val="150"/>
        <c:axId val="2113560552"/>
        <c:axId val="2113563672"/>
      </c:barChart>
      <c:catAx>
        <c:axId val="2113560552"/>
        <c:scaling>
          <c:orientation val="minMax"/>
        </c:scaling>
        <c:delete val="0"/>
        <c:axPos val="b"/>
        <c:majorTickMark val="none"/>
        <c:minorTickMark val="none"/>
        <c:tickLblPos val="nextTo"/>
        <c:crossAx val="2113563672"/>
        <c:crosses val="autoZero"/>
        <c:auto val="1"/>
        <c:lblAlgn val="ctr"/>
        <c:lblOffset val="100"/>
        <c:noMultiLvlLbl val="0"/>
      </c:catAx>
      <c:valAx>
        <c:axId val="2113563672"/>
        <c:scaling>
          <c:orientation val="minMax"/>
        </c:scaling>
        <c:delete val="0"/>
        <c:axPos val="l"/>
        <c:majorGridlines/>
        <c:numFmt formatCode="General" sourceLinked="1"/>
        <c:majorTickMark val="none"/>
        <c:minorTickMark val="none"/>
        <c:tickLblPos val="nextTo"/>
        <c:crossAx val="21135605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t>Whole School Reading</a:t>
            </a:r>
            <a:endParaRPr lang="en-NZ"/>
          </a:p>
        </c:rich>
      </c:tx>
      <c:overlay val="0"/>
    </c:title>
    <c:autoTitleDeleted val="0"/>
    <c:plotArea>
      <c:layout/>
      <c:barChart>
        <c:barDir val="col"/>
        <c:grouping val="clustered"/>
        <c:varyColors val="0"/>
        <c:ser>
          <c:idx val="0"/>
          <c:order val="0"/>
          <c:tx>
            <c:strRef>
              <c:f>'whole school  reading 2014'!$C$5</c:f>
              <c:strCache>
                <c:ptCount val="1"/>
                <c:pt idx="0">
                  <c:v>2011</c:v>
                </c:pt>
              </c:strCache>
            </c:strRef>
          </c:tx>
          <c:invertIfNegative val="0"/>
          <c:cat>
            <c:strRef>
              <c:f>'whole school  reading 2014'!$D$4:$G$4</c:f>
              <c:strCache>
                <c:ptCount val="4"/>
                <c:pt idx="0">
                  <c:v>Above / Well above</c:v>
                </c:pt>
                <c:pt idx="1">
                  <c:v>At</c:v>
                </c:pt>
                <c:pt idx="2">
                  <c:v>below</c:v>
                </c:pt>
                <c:pt idx="3">
                  <c:v>Well below</c:v>
                </c:pt>
              </c:strCache>
            </c:strRef>
          </c:cat>
          <c:val>
            <c:numRef>
              <c:f>'whole school  reading 2014'!$D$5:$G$5</c:f>
              <c:numCache>
                <c:formatCode>General</c:formatCode>
                <c:ptCount val="4"/>
                <c:pt idx="0">
                  <c:v>48.75</c:v>
                </c:pt>
                <c:pt idx="1">
                  <c:v>41.5</c:v>
                </c:pt>
                <c:pt idx="2">
                  <c:v>7.124999999999994</c:v>
                </c:pt>
                <c:pt idx="3">
                  <c:v>2.625</c:v>
                </c:pt>
              </c:numCache>
            </c:numRef>
          </c:val>
        </c:ser>
        <c:ser>
          <c:idx val="1"/>
          <c:order val="1"/>
          <c:tx>
            <c:strRef>
              <c:f>'whole school  reading 2014'!$C$6</c:f>
              <c:strCache>
                <c:ptCount val="1"/>
                <c:pt idx="0">
                  <c:v>2012</c:v>
                </c:pt>
              </c:strCache>
            </c:strRef>
          </c:tx>
          <c:invertIfNegative val="0"/>
          <c:cat>
            <c:strRef>
              <c:f>'whole school  reading 2014'!$D$4:$G$4</c:f>
              <c:strCache>
                <c:ptCount val="4"/>
                <c:pt idx="0">
                  <c:v>Above / Well above</c:v>
                </c:pt>
                <c:pt idx="1">
                  <c:v>At</c:v>
                </c:pt>
                <c:pt idx="2">
                  <c:v>below</c:v>
                </c:pt>
                <c:pt idx="3">
                  <c:v>Well below</c:v>
                </c:pt>
              </c:strCache>
            </c:strRef>
          </c:cat>
          <c:val>
            <c:numRef>
              <c:f>'whole school  reading 2014'!$D$6:$G$6</c:f>
              <c:numCache>
                <c:formatCode>General</c:formatCode>
                <c:ptCount val="4"/>
                <c:pt idx="0">
                  <c:v>49.875</c:v>
                </c:pt>
                <c:pt idx="1">
                  <c:v>40.5</c:v>
                </c:pt>
                <c:pt idx="2">
                  <c:v>7.75</c:v>
                </c:pt>
                <c:pt idx="3">
                  <c:v>2.0</c:v>
                </c:pt>
              </c:numCache>
            </c:numRef>
          </c:val>
        </c:ser>
        <c:ser>
          <c:idx val="2"/>
          <c:order val="2"/>
          <c:tx>
            <c:strRef>
              <c:f>'whole school  reading 2014'!$C$7</c:f>
              <c:strCache>
                <c:ptCount val="1"/>
                <c:pt idx="0">
                  <c:v>2013</c:v>
                </c:pt>
              </c:strCache>
            </c:strRef>
          </c:tx>
          <c:invertIfNegative val="0"/>
          <c:cat>
            <c:strRef>
              <c:f>'whole school  reading 2014'!$D$4:$G$4</c:f>
              <c:strCache>
                <c:ptCount val="4"/>
                <c:pt idx="0">
                  <c:v>Above / Well above</c:v>
                </c:pt>
                <c:pt idx="1">
                  <c:v>At</c:v>
                </c:pt>
                <c:pt idx="2">
                  <c:v>below</c:v>
                </c:pt>
                <c:pt idx="3">
                  <c:v>Well below</c:v>
                </c:pt>
              </c:strCache>
            </c:strRef>
          </c:cat>
          <c:val>
            <c:numRef>
              <c:f>'whole school  reading 2014'!$D$7:$G$7</c:f>
              <c:numCache>
                <c:formatCode>General</c:formatCode>
                <c:ptCount val="4"/>
                <c:pt idx="0">
                  <c:v>44.25</c:v>
                </c:pt>
                <c:pt idx="1">
                  <c:v>46.625</c:v>
                </c:pt>
                <c:pt idx="2">
                  <c:v>7.875</c:v>
                </c:pt>
                <c:pt idx="3">
                  <c:v>1.625</c:v>
                </c:pt>
              </c:numCache>
            </c:numRef>
          </c:val>
        </c:ser>
        <c:ser>
          <c:idx val="3"/>
          <c:order val="3"/>
          <c:tx>
            <c:strRef>
              <c:f>'whole school  reading 2014'!$C$8</c:f>
              <c:strCache>
                <c:ptCount val="1"/>
                <c:pt idx="0">
                  <c:v>2014</c:v>
                </c:pt>
              </c:strCache>
            </c:strRef>
          </c:tx>
          <c:invertIfNegative val="0"/>
          <c:cat>
            <c:strRef>
              <c:f>'whole school  reading 2014'!$D$4:$G$4</c:f>
              <c:strCache>
                <c:ptCount val="4"/>
                <c:pt idx="0">
                  <c:v>Above / Well above</c:v>
                </c:pt>
                <c:pt idx="1">
                  <c:v>At</c:v>
                </c:pt>
                <c:pt idx="2">
                  <c:v>below</c:v>
                </c:pt>
                <c:pt idx="3">
                  <c:v>Well below</c:v>
                </c:pt>
              </c:strCache>
            </c:strRef>
          </c:cat>
          <c:val>
            <c:numRef>
              <c:f>'whole school  reading 2014'!$D$8:$G$8</c:f>
              <c:numCache>
                <c:formatCode>#,##0</c:formatCode>
                <c:ptCount val="4"/>
                <c:pt idx="0">
                  <c:v>44.258872651357</c:v>
                </c:pt>
                <c:pt idx="1">
                  <c:v>48.01670146137782</c:v>
                </c:pt>
                <c:pt idx="2">
                  <c:v>6.054279749478079</c:v>
                </c:pt>
                <c:pt idx="3" formatCode="##0">
                  <c:v>1.670146137787056</c:v>
                </c:pt>
              </c:numCache>
            </c:numRef>
          </c:val>
        </c:ser>
        <c:dLbls>
          <c:showLegendKey val="0"/>
          <c:showVal val="0"/>
          <c:showCatName val="0"/>
          <c:showSerName val="0"/>
          <c:showPercent val="0"/>
          <c:showBubbleSize val="0"/>
        </c:dLbls>
        <c:gapWidth val="150"/>
        <c:axId val="2113666920"/>
        <c:axId val="2113670040"/>
      </c:barChart>
      <c:catAx>
        <c:axId val="2113666920"/>
        <c:scaling>
          <c:orientation val="minMax"/>
        </c:scaling>
        <c:delete val="0"/>
        <c:axPos val="b"/>
        <c:majorTickMark val="none"/>
        <c:minorTickMark val="none"/>
        <c:tickLblPos val="nextTo"/>
        <c:crossAx val="2113670040"/>
        <c:crosses val="autoZero"/>
        <c:auto val="1"/>
        <c:lblAlgn val="ctr"/>
        <c:lblOffset val="100"/>
        <c:noMultiLvlLbl val="0"/>
      </c:catAx>
      <c:valAx>
        <c:axId val="2113670040"/>
        <c:scaling>
          <c:orientation val="minMax"/>
        </c:scaling>
        <c:delete val="0"/>
        <c:axPos val="l"/>
        <c:majorGridlines/>
        <c:numFmt formatCode="General" sourceLinked="1"/>
        <c:majorTickMark val="none"/>
        <c:minorTickMark val="none"/>
        <c:tickLblPos val="nextTo"/>
        <c:crossAx val="21136669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Reading 2014 Maori /Euro Comparison</a:t>
            </a:r>
            <a:endParaRPr lang="en-NZ">
              <a:effectLst/>
            </a:endParaRPr>
          </a:p>
        </c:rich>
      </c:tx>
      <c:layout>
        <c:manualLayout>
          <c:xMode val="edge"/>
          <c:yMode val="edge"/>
          <c:x val="0.175719385053017"/>
          <c:y val="0.0305654610290372"/>
        </c:manualLayout>
      </c:layout>
      <c:overlay val="0"/>
    </c:title>
    <c:autoTitleDeleted val="0"/>
    <c:plotArea>
      <c:layout/>
      <c:barChart>
        <c:barDir val="col"/>
        <c:grouping val="clustered"/>
        <c:varyColors val="0"/>
        <c:ser>
          <c:idx val="0"/>
          <c:order val="0"/>
          <c:tx>
            <c:strRef>
              <c:f>'Maori Euro comparison 2014'!$O$8</c:f>
              <c:strCache>
                <c:ptCount val="1"/>
                <c:pt idx="0">
                  <c:v>Maori</c:v>
                </c:pt>
              </c:strCache>
            </c:strRef>
          </c:tx>
          <c:invertIfNegative val="0"/>
          <c:cat>
            <c:strRef>
              <c:f>'Maori Euro comparison 2014'!$P$7:$S$7</c:f>
              <c:strCache>
                <c:ptCount val="4"/>
                <c:pt idx="0">
                  <c:v>Above</c:v>
                </c:pt>
                <c:pt idx="1">
                  <c:v>At</c:v>
                </c:pt>
                <c:pt idx="2">
                  <c:v>Below</c:v>
                </c:pt>
                <c:pt idx="3">
                  <c:v>Well Below</c:v>
                </c:pt>
              </c:strCache>
            </c:strRef>
          </c:cat>
          <c:val>
            <c:numRef>
              <c:f>'Maori Euro comparison 2014'!$P$8:$S$8</c:f>
              <c:numCache>
                <c:formatCode>#,##0</c:formatCode>
                <c:ptCount val="4"/>
                <c:pt idx="0">
                  <c:v>28.0</c:v>
                </c:pt>
                <c:pt idx="1">
                  <c:v>57.0</c:v>
                </c:pt>
                <c:pt idx="2">
                  <c:v>12.0</c:v>
                </c:pt>
                <c:pt idx="3" formatCode="##0">
                  <c:v>4.0</c:v>
                </c:pt>
              </c:numCache>
            </c:numRef>
          </c:val>
        </c:ser>
        <c:ser>
          <c:idx val="1"/>
          <c:order val="1"/>
          <c:tx>
            <c:strRef>
              <c:f>'Maori Euro comparison 2014'!$O$9</c:f>
              <c:strCache>
                <c:ptCount val="1"/>
                <c:pt idx="0">
                  <c:v>NZ/European</c:v>
                </c:pt>
              </c:strCache>
            </c:strRef>
          </c:tx>
          <c:invertIfNegative val="0"/>
          <c:cat>
            <c:strRef>
              <c:f>'Maori Euro comparison 2014'!$P$7:$S$7</c:f>
              <c:strCache>
                <c:ptCount val="4"/>
                <c:pt idx="0">
                  <c:v>Above</c:v>
                </c:pt>
                <c:pt idx="1">
                  <c:v>At</c:v>
                </c:pt>
                <c:pt idx="2">
                  <c:v>Below</c:v>
                </c:pt>
                <c:pt idx="3">
                  <c:v>Well Below</c:v>
                </c:pt>
              </c:strCache>
            </c:strRef>
          </c:cat>
          <c:val>
            <c:numRef>
              <c:f>'Maori Euro comparison 2014'!$P$9:$S$9</c:f>
              <c:numCache>
                <c:formatCode>#,##0</c:formatCode>
                <c:ptCount val="4"/>
                <c:pt idx="0">
                  <c:v>45.0</c:v>
                </c:pt>
                <c:pt idx="1">
                  <c:v>47.0</c:v>
                </c:pt>
                <c:pt idx="2">
                  <c:v>6.0</c:v>
                </c:pt>
                <c:pt idx="3" formatCode="##0">
                  <c:v>1.0</c:v>
                </c:pt>
              </c:numCache>
            </c:numRef>
          </c:val>
        </c:ser>
        <c:dLbls>
          <c:showLegendKey val="0"/>
          <c:showVal val="0"/>
          <c:showCatName val="0"/>
          <c:showSerName val="0"/>
          <c:showPercent val="0"/>
          <c:showBubbleSize val="0"/>
        </c:dLbls>
        <c:gapWidth val="150"/>
        <c:axId val="2109359976"/>
        <c:axId val="2105662456"/>
      </c:barChart>
      <c:catAx>
        <c:axId val="2109359976"/>
        <c:scaling>
          <c:orientation val="minMax"/>
        </c:scaling>
        <c:delete val="0"/>
        <c:axPos val="b"/>
        <c:majorTickMark val="none"/>
        <c:minorTickMark val="none"/>
        <c:tickLblPos val="nextTo"/>
        <c:crossAx val="2105662456"/>
        <c:crosses val="autoZero"/>
        <c:auto val="1"/>
        <c:lblAlgn val="ctr"/>
        <c:lblOffset val="100"/>
        <c:noMultiLvlLbl val="0"/>
      </c:catAx>
      <c:valAx>
        <c:axId val="2105662456"/>
        <c:scaling>
          <c:orientation val="minMax"/>
        </c:scaling>
        <c:delete val="0"/>
        <c:axPos val="l"/>
        <c:majorGridlines/>
        <c:numFmt formatCode="#,##0" sourceLinked="1"/>
        <c:majorTickMark val="none"/>
        <c:minorTickMark val="none"/>
        <c:tickLblPos val="nextTo"/>
        <c:crossAx val="210935997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Maths 2014 Maori /Euro Comparison</a:t>
            </a:r>
            <a:endParaRPr lang="en-NZ">
              <a:effectLst/>
            </a:endParaRPr>
          </a:p>
        </c:rich>
      </c:tx>
      <c:overlay val="0"/>
    </c:title>
    <c:autoTitleDeleted val="0"/>
    <c:plotArea>
      <c:layout/>
      <c:barChart>
        <c:barDir val="col"/>
        <c:grouping val="clustered"/>
        <c:varyColors val="0"/>
        <c:ser>
          <c:idx val="0"/>
          <c:order val="0"/>
          <c:tx>
            <c:strRef>
              <c:f>'Maori Euro comparison 2014'!$O$27</c:f>
              <c:strCache>
                <c:ptCount val="1"/>
                <c:pt idx="0">
                  <c:v>Maori</c:v>
                </c:pt>
              </c:strCache>
            </c:strRef>
          </c:tx>
          <c:invertIfNegative val="0"/>
          <c:cat>
            <c:strRef>
              <c:f>'Maori Euro comparison 2014'!$P$26:$S$26</c:f>
              <c:strCache>
                <c:ptCount val="4"/>
                <c:pt idx="0">
                  <c:v>Above</c:v>
                </c:pt>
                <c:pt idx="1">
                  <c:v>At</c:v>
                </c:pt>
                <c:pt idx="2">
                  <c:v>Below</c:v>
                </c:pt>
                <c:pt idx="3">
                  <c:v>Well Below</c:v>
                </c:pt>
              </c:strCache>
            </c:strRef>
          </c:cat>
          <c:val>
            <c:numRef>
              <c:f>'Maori Euro comparison 2014'!$P$27:$S$27</c:f>
              <c:numCache>
                <c:formatCode>#,##0</c:formatCode>
                <c:ptCount val="4"/>
                <c:pt idx="0">
                  <c:v>28.0</c:v>
                </c:pt>
                <c:pt idx="1">
                  <c:v>64.0</c:v>
                </c:pt>
                <c:pt idx="2">
                  <c:v>4.0</c:v>
                </c:pt>
                <c:pt idx="3" formatCode="##0">
                  <c:v>4.0</c:v>
                </c:pt>
              </c:numCache>
            </c:numRef>
          </c:val>
        </c:ser>
        <c:ser>
          <c:idx val="1"/>
          <c:order val="1"/>
          <c:tx>
            <c:strRef>
              <c:f>'Maori Euro comparison 2014'!$O$28</c:f>
              <c:strCache>
                <c:ptCount val="1"/>
                <c:pt idx="0">
                  <c:v>NZ/European</c:v>
                </c:pt>
              </c:strCache>
            </c:strRef>
          </c:tx>
          <c:invertIfNegative val="0"/>
          <c:cat>
            <c:strRef>
              <c:f>'Maori Euro comparison 2014'!$P$26:$S$26</c:f>
              <c:strCache>
                <c:ptCount val="4"/>
                <c:pt idx="0">
                  <c:v>Above</c:v>
                </c:pt>
                <c:pt idx="1">
                  <c:v>At</c:v>
                </c:pt>
                <c:pt idx="2">
                  <c:v>Below</c:v>
                </c:pt>
                <c:pt idx="3">
                  <c:v>Well Below</c:v>
                </c:pt>
              </c:strCache>
            </c:strRef>
          </c:cat>
          <c:val>
            <c:numRef>
              <c:f>'Maori Euro comparison 2014'!$P$28:$S$28</c:f>
              <c:numCache>
                <c:formatCode>#,##0</c:formatCode>
                <c:ptCount val="4"/>
                <c:pt idx="0">
                  <c:v>46.0</c:v>
                </c:pt>
                <c:pt idx="1">
                  <c:v>47.0</c:v>
                </c:pt>
                <c:pt idx="2">
                  <c:v>4.0</c:v>
                </c:pt>
                <c:pt idx="3" formatCode="##0">
                  <c:v>2.0</c:v>
                </c:pt>
              </c:numCache>
            </c:numRef>
          </c:val>
        </c:ser>
        <c:dLbls>
          <c:showLegendKey val="0"/>
          <c:showVal val="0"/>
          <c:showCatName val="0"/>
          <c:showSerName val="0"/>
          <c:showPercent val="0"/>
          <c:showBubbleSize val="0"/>
        </c:dLbls>
        <c:gapWidth val="150"/>
        <c:axId val="2113715080"/>
        <c:axId val="2113718056"/>
      </c:barChart>
      <c:catAx>
        <c:axId val="2113715080"/>
        <c:scaling>
          <c:orientation val="minMax"/>
        </c:scaling>
        <c:delete val="0"/>
        <c:axPos val="b"/>
        <c:majorTickMark val="none"/>
        <c:minorTickMark val="none"/>
        <c:tickLblPos val="nextTo"/>
        <c:crossAx val="2113718056"/>
        <c:crosses val="autoZero"/>
        <c:auto val="1"/>
        <c:lblAlgn val="ctr"/>
        <c:lblOffset val="100"/>
        <c:noMultiLvlLbl val="0"/>
      </c:catAx>
      <c:valAx>
        <c:axId val="2113718056"/>
        <c:scaling>
          <c:orientation val="minMax"/>
        </c:scaling>
        <c:delete val="0"/>
        <c:axPos val="l"/>
        <c:majorGridlines/>
        <c:numFmt formatCode="#,##0" sourceLinked="1"/>
        <c:majorTickMark val="none"/>
        <c:minorTickMark val="none"/>
        <c:tickLblPos val="nextTo"/>
        <c:crossAx val="211371508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Reading 2014 Male/Female</a:t>
            </a:r>
            <a:endParaRPr lang="en-NZ">
              <a:effectLst/>
            </a:endParaRPr>
          </a:p>
        </c:rich>
      </c:tx>
      <c:overlay val="0"/>
    </c:title>
    <c:autoTitleDeleted val="0"/>
    <c:plotArea>
      <c:layout/>
      <c:barChart>
        <c:barDir val="col"/>
        <c:grouping val="clustered"/>
        <c:varyColors val="0"/>
        <c:ser>
          <c:idx val="0"/>
          <c:order val="0"/>
          <c:tx>
            <c:strRef>
              <c:f>'Male Female comparison 2014'!$O$2</c:f>
              <c:strCache>
                <c:ptCount val="1"/>
                <c:pt idx="0">
                  <c:v>Male</c:v>
                </c:pt>
              </c:strCache>
            </c:strRef>
          </c:tx>
          <c:invertIfNegative val="0"/>
          <c:cat>
            <c:strRef>
              <c:f>'Male Female comparison 2014'!$P$1:$S$1</c:f>
              <c:strCache>
                <c:ptCount val="4"/>
                <c:pt idx="0">
                  <c:v>Above</c:v>
                </c:pt>
                <c:pt idx="1">
                  <c:v>At</c:v>
                </c:pt>
                <c:pt idx="2">
                  <c:v>Below</c:v>
                </c:pt>
                <c:pt idx="3">
                  <c:v>Well Below</c:v>
                </c:pt>
              </c:strCache>
            </c:strRef>
          </c:cat>
          <c:val>
            <c:numRef>
              <c:f>'Male Female comparison 2014'!$P$2:$S$2</c:f>
              <c:numCache>
                <c:formatCode>General</c:formatCode>
                <c:ptCount val="4"/>
                <c:pt idx="0">
                  <c:v>41.0</c:v>
                </c:pt>
                <c:pt idx="1">
                  <c:v>49.0</c:v>
                </c:pt>
                <c:pt idx="2">
                  <c:v>8.0</c:v>
                </c:pt>
                <c:pt idx="3">
                  <c:v>2.0</c:v>
                </c:pt>
              </c:numCache>
            </c:numRef>
          </c:val>
        </c:ser>
        <c:ser>
          <c:idx val="1"/>
          <c:order val="1"/>
          <c:tx>
            <c:strRef>
              <c:f>'Male Female comparison 2014'!$O$3</c:f>
              <c:strCache>
                <c:ptCount val="1"/>
                <c:pt idx="0">
                  <c:v>Female</c:v>
                </c:pt>
              </c:strCache>
            </c:strRef>
          </c:tx>
          <c:invertIfNegative val="0"/>
          <c:cat>
            <c:strRef>
              <c:f>'Male Female comparison 2014'!$P$1:$S$1</c:f>
              <c:strCache>
                <c:ptCount val="4"/>
                <c:pt idx="0">
                  <c:v>Above</c:v>
                </c:pt>
                <c:pt idx="1">
                  <c:v>At</c:v>
                </c:pt>
                <c:pt idx="2">
                  <c:v>Below</c:v>
                </c:pt>
                <c:pt idx="3">
                  <c:v>Well Below</c:v>
                </c:pt>
              </c:strCache>
            </c:strRef>
          </c:cat>
          <c:val>
            <c:numRef>
              <c:f>'Male Female comparison 2014'!$P$3:$S$3</c:f>
              <c:numCache>
                <c:formatCode>General</c:formatCode>
                <c:ptCount val="4"/>
                <c:pt idx="0">
                  <c:v>47.0</c:v>
                </c:pt>
                <c:pt idx="1">
                  <c:v>47.0</c:v>
                </c:pt>
                <c:pt idx="2">
                  <c:v>5.0</c:v>
                </c:pt>
                <c:pt idx="3">
                  <c:v>1.0</c:v>
                </c:pt>
              </c:numCache>
            </c:numRef>
          </c:val>
        </c:ser>
        <c:dLbls>
          <c:showLegendKey val="0"/>
          <c:showVal val="0"/>
          <c:showCatName val="0"/>
          <c:showSerName val="0"/>
          <c:showPercent val="0"/>
          <c:showBubbleSize val="0"/>
        </c:dLbls>
        <c:gapWidth val="150"/>
        <c:axId val="2113755320"/>
        <c:axId val="2113758296"/>
      </c:barChart>
      <c:catAx>
        <c:axId val="2113755320"/>
        <c:scaling>
          <c:orientation val="minMax"/>
        </c:scaling>
        <c:delete val="0"/>
        <c:axPos val="b"/>
        <c:majorTickMark val="none"/>
        <c:minorTickMark val="none"/>
        <c:tickLblPos val="nextTo"/>
        <c:crossAx val="2113758296"/>
        <c:crosses val="autoZero"/>
        <c:auto val="1"/>
        <c:lblAlgn val="ctr"/>
        <c:lblOffset val="100"/>
        <c:noMultiLvlLbl val="0"/>
      </c:catAx>
      <c:valAx>
        <c:axId val="2113758296"/>
        <c:scaling>
          <c:orientation val="minMax"/>
        </c:scaling>
        <c:delete val="0"/>
        <c:axPos val="l"/>
        <c:majorGridlines/>
        <c:numFmt formatCode="General" sourceLinked="1"/>
        <c:majorTickMark val="none"/>
        <c:minorTickMark val="none"/>
        <c:tickLblPos val="nextTo"/>
        <c:crossAx val="211375532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Maths 2014 Male/Female</a:t>
            </a:r>
            <a:endParaRPr lang="en-NZ">
              <a:effectLst/>
            </a:endParaRPr>
          </a:p>
        </c:rich>
      </c:tx>
      <c:overlay val="0"/>
    </c:title>
    <c:autoTitleDeleted val="0"/>
    <c:plotArea>
      <c:layout/>
      <c:barChart>
        <c:barDir val="col"/>
        <c:grouping val="clustered"/>
        <c:varyColors val="0"/>
        <c:ser>
          <c:idx val="0"/>
          <c:order val="0"/>
          <c:tx>
            <c:strRef>
              <c:f>'Male Female comparison 2014'!$O$16</c:f>
              <c:strCache>
                <c:ptCount val="1"/>
                <c:pt idx="0">
                  <c:v>Male</c:v>
                </c:pt>
              </c:strCache>
            </c:strRef>
          </c:tx>
          <c:invertIfNegative val="0"/>
          <c:cat>
            <c:strRef>
              <c:f>'Male Female comparison 2014'!$P$15:$S$15</c:f>
              <c:strCache>
                <c:ptCount val="4"/>
                <c:pt idx="0">
                  <c:v>Above</c:v>
                </c:pt>
                <c:pt idx="1">
                  <c:v>At</c:v>
                </c:pt>
                <c:pt idx="2">
                  <c:v>Below</c:v>
                </c:pt>
                <c:pt idx="3">
                  <c:v>Well Below</c:v>
                </c:pt>
              </c:strCache>
            </c:strRef>
          </c:cat>
          <c:val>
            <c:numRef>
              <c:f>'Male Female comparison 2014'!$P$16:$S$16</c:f>
              <c:numCache>
                <c:formatCode>General</c:formatCode>
                <c:ptCount val="4"/>
                <c:pt idx="0">
                  <c:v>51.0</c:v>
                </c:pt>
                <c:pt idx="1">
                  <c:v>44.0</c:v>
                </c:pt>
                <c:pt idx="2">
                  <c:v>3.0</c:v>
                </c:pt>
                <c:pt idx="3">
                  <c:v>2.0</c:v>
                </c:pt>
              </c:numCache>
            </c:numRef>
          </c:val>
        </c:ser>
        <c:ser>
          <c:idx val="1"/>
          <c:order val="1"/>
          <c:tx>
            <c:strRef>
              <c:f>'Male Female comparison 2014'!$O$17</c:f>
              <c:strCache>
                <c:ptCount val="1"/>
                <c:pt idx="0">
                  <c:v>Female</c:v>
                </c:pt>
              </c:strCache>
            </c:strRef>
          </c:tx>
          <c:invertIfNegative val="0"/>
          <c:cat>
            <c:strRef>
              <c:f>'Male Female comparison 2014'!$P$15:$S$15</c:f>
              <c:strCache>
                <c:ptCount val="4"/>
                <c:pt idx="0">
                  <c:v>Above</c:v>
                </c:pt>
                <c:pt idx="1">
                  <c:v>At</c:v>
                </c:pt>
                <c:pt idx="2">
                  <c:v>Below</c:v>
                </c:pt>
                <c:pt idx="3">
                  <c:v>Well Below</c:v>
                </c:pt>
              </c:strCache>
            </c:strRef>
          </c:cat>
          <c:val>
            <c:numRef>
              <c:f>'Male Female comparison 2014'!$P$17:$S$17</c:f>
              <c:numCache>
                <c:formatCode>General</c:formatCode>
                <c:ptCount val="4"/>
                <c:pt idx="0">
                  <c:v>43.0</c:v>
                </c:pt>
                <c:pt idx="1">
                  <c:v>52.0</c:v>
                </c:pt>
                <c:pt idx="2">
                  <c:v>6.0</c:v>
                </c:pt>
                <c:pt idx="3">
                  <c:v>2.0</c:v>
                </c:pt>
              </c:numCache>
            </c:numRef>
          </c:val>
        </c:ser>
        <c:dLbls>
          <c:showLegendKey val="0"/>
          <c:showVal val="0"/>
          <c:showCatName val="0"/>
          <c:showSerName val="0"/>
          <c:showPercent val="0"/>
          <c:showBubbleSize val="0"/>
        </c:dLbls>
        <c:gapWidth val="150"/>
        <c:axId val="2113795896"/>
        <c:axId val="2113798872"/>
      </c:barChart>
      <c:catAx>
        <c:axId val="2113795896"/>
        <c:scaling>
          <c:orientation val="minMax"/>
        </c:scaling>
        <c:delete val="0"/>
        <c:axPos val="b"/>
        <c:majorTickMark val="none"/>
        <c:minorTickMark val="none"/>
        <c:tickLblPos val="nextTo"/>
        <c:crossAx val="2113798872"/>
        <c:crosses val="autoZero"/>
        <c:auto val="1"/>
        <c:lblAlgn val="ctr"/>
        <c:lblOffset val="100"/>
        <c:noMultiLvlLbl val="0"/>
      </c:catAx>
      <c:valAx>
        <c:axId val="2113798872"/>
        <c:scaling>
          <c:orientation val="minMax"/>
        </c:scaling>
        <c:delete val="0"/>
        <c:axPos val="l"/>
        <c:majorGridlines/>
        <c:numFmt formatCode="General" sourceLinked="1"/>
        <c:majorTickMark val="none"/>
        <c:minorTickMark val="none"/>
        <c:tickLblPos val="nextTo"/>
        <c:crossAx val="211379589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t>Whole School Writing</a:t>
            </a:r>
            <a:endParaRPr lang="en-NZ"/>
          </a:p>
        </c:rich>
      </c:tx>
      <c:overlay val="0"/>
    </c:title>
    <c:autoTitleDeleted val="0"/>
    <c:plotArea>
      <c:layout/>
      <c:barChart>
        <c:barDir val="col"/>
        <c:grouping val="clustered"/>
        <c:varyColors val="0"/>
        <c:ser>
          <c:idx val="0"/>
          <c:order val="0"/>
          <c:tx>
            <c:strRef>
              <c:f>'whole school writing 2014'!$A$2</c:f>
              <c:strCache>
                <c:ptCount val="1"/>
                <c:pt idx="0">
                  <c:v>2011</c:v>
                </c:pt>
              </c:strCache>
            </c:strRef>
          </c:tx>
          <c:invertIfNegative val="0"/>
          <c:cat>
            <c:strRef>
              <c:f>'whole school writing 2014'!$B$1:$E$1</c:f>
              <c:strCache>
                <c:ptCount val="4"/>
                <c:pt idx="0">
                  <c:v>Above / Well above</c:v>
                </c:pt>
                <c:pt idx="1">
                  <c:v>At</c:v>
                </c:pt>
                <c:pt idx="2">
                  <c:v>below</c:v>
                </c:pt>
                <c:pt idx="3">
                  <c:v>Well below</c:v>
                </c:pt>
              </c:strCache>
            </c:strRef>
          </c:cat>
          <c:val>
            <c:numRef>
              <c:f>'whole school writing 2014'!$B$2:$E$2</c:f>
              <c:numCache>
                <c:formatCode>General</c:formatCode>
                <c:ptCount val="4"/>
                <c:pt idx="0">
                  <c:v>22.0</c:v>
                </c:pt>
                <c:pt idx="1">
                  <c:v>55.0</c:v>
                </c:pt>
                <c:pt idx="2">
                  <c:v>20.625</c:v>
                </c:pt>
                <c:pt idx="3">
                  <c:v>2.625</c:v>
                </c:pt>
              </c:numCache>
            </c:numRef>
          </c:val>
        </c:ser>
        <c:ser>
          <c:idx val="1"/>
          <c:order val="1"/>
          <c:tx>
            <c:strRef>
              <c:f>'whole school writing 2014'!$A$3</c:f>
              <c:strCache>
                <c:ptCount val="1"/>
                <c:pt idx="0">
                  <c:v>2012</c:v>
                </c:pt>
              </c:strCache>
            </c:strRef>
          </c:tx>
          <c:invertIfNegative val="0"/>
          <c:cat>
            <c:strRef>
              <c:f>'whole school writing 2014'!$B$1:$E$1</c:f>
              <c:strCache>
                <c:ptCount val="4"/>
                <c:pt idx="0">
                  <c:v>Above / Well above</c:v>
                </c:pt>
                <c:pt idx="1">
                  <c:v>At</c:v>
                </c:pt>
                <c:pt idx="2">
                  <c:v>below</c:v>
                </c:pt>
                <c:pt idx="3">
                  <c:v>Well below</c:v>
                </c:pt>
              </c:strCache>
            </c:strRef>
          </c:cat>
          <c:val>
            <c:numRef>
              <c:f>'whole school writing 2014'!$B$3:$E$3</c:f>
              <c:numCache>
                <c:formatCode>General</c:formatCode>
                <c:ptCount val="4"/>
                <c:pt idx="0">
                  <c:v>22.375</c:v>
                </c:pt>
                <c:pt idx="1">
                  <c:v>57.625</c:v>
                </c:pt>
                <c:pt idx="2">
                  <c:v>17.75</c:v>
                </c:pt>
                <c:pt idx="3">
                  <c:v>2.375</c:v>
                </c:pt>
              </c:numCache>
            </c:numRef>
          </c:val>
        </c:ser>
        <c:ser>
          <c:idx val="2"/>
          <c:order val="2"/>
          <c:tx>
            <c:strRef>
              <c:f>'whole school writing 2014'!$A$4</c:f>
              <c:strCache>
                <c:ptCount val="1"/>
                <c:pt idx="0">
                  <c:v>2013</c:v>
                </c:pt>
              </c:strCache>
            </c:strRef>
          </c:tx>
          <c:invertIfNegative val="0"/>
          <c:cat>
            <c:strRef>
              <c:f>'whole school writing 2014'!$B$1:$E$1</c:f>
              <c:strCache>
                <c:ptCount val="4"/>
                <c:pt idx="0">
                  <c:v>Above / Well above</c:v>
                </c:pt>
                <c:pt idx="1">
                  <c:v>At</c:v>
                </c:pt>
                <c:pt idx="2">
                  <c:v>below</c:v>
                </c:pt>
                <c:pt idx="3">
                  <c:v>Well below</c:v>
                </c:pt>
              </c:strCache>
            </c:strRef>
          </c:cat>
          <c:val>
            <c:numRef>
              <c:f>'whole school writing 2014'!$B$4:$E$4</c:f>
              <c:numCache>
                <c:formatCode>General</c:formatCode>
                <c:ptCount val="4"/>
                <c:pt idx="0">
                  <c:v>24.75</c:v>
                </c:pt>
                <c:pt idx="1">
                  <c:v>55.5</c:v>
                </c:pt>
                <c:pt idx="2">
                  <c:v>18.125</c:v>
                </c:pt>
                <c:pt idx="3">
                  <c:v>1.625</c:v>
                </c:pt>
              </c:numCache>
            </c:numRef>
          </c:val>
        </c:ser>
        <c:ser>
          <c:idx val="3"/>
          <c:order val="3"/>
          <c:tx>
            <c:strRef>
              <c:f>'whole school writing 2014'!$A$5</c:f>
              <c:strCache>
                <c:ptCount val="1"/>
                <c:pt idx="0">
                  <c:v>2014</c:v>
                </c:pt>
              </c:strCache>
            </c:strRef>
          </c:tx>
          <c:invertIfNegative val="0"/>
          <c:cat>
            <c:strRef>
              <c:f>'whole school writing 2014'!$B$1:$E$1</c:f>
              <c:strCache>
                <c:ptCount val="4"/>
                <c:pt idx="0">
                  <c:v>Above / Well above</c:v>
                </c:pt>
                <c:pt idx="1">
                  <c:v>At</c:v>
                </c:pt>
                <c:pt idx="2">
                  <c:v>below</c:v>
                </c:pt>
                <c:pt idx="3">
                  <c:v>Well below</c:v>
                </c:pt>
              </c:strCache>
            </c:strRef>
          </c:cat>
          <c:val>
            <c:numRef>
              <c:f>'whole school writing 2014'!$B$5:$E$5</c:f>
              <c:numCache>
                <c:formatCode>0.00</c:formatCode>
                <c:ptCount val="4"/>
                <c:pt idx="0">
                  <c:v>27.55741127348643</c:v>
                </c:pt>
                <c:pt idx="1">
                  <c:v>59.70772442588724</c:v>
                </c:pt>
                <c:pt idx="2">
                  <c:v>11.06471816283925</c:v>
                </c:pt>
                <c:pt idx="3">
                  <c:v>1.670146137787056</c:v>
                </c:pt>
              </c:numCache>
            </c:numRef>
          </c:val>
        </c:ser>
        <c:dLbls>
          <c:showLegendKey val="0"/>
          <c:showVal val="0"/>
          <c:showCatName val="0"/>
          <c:showSerName val="0"/>
          <c:showPercent val="0"/>
          <c:showBubbleSize val="0"/>
        </c:dLbls>
        <c:gapWidth val="150"/>
        <c:axId val="2113845992"/>
        <c:axId val="2113849112"/>
      </c:barChart>
      <c:catAx>
        <c:axId val="2113845992"/>
        <c:scaling>
          <c:orientation val="minMax"/>
        </c:scaling>
        <c:delete val="0"/>
        <c:axPos val="b"/>
        <c:majorTickMark val="none"/>
        <c:minorTickMark val="none"/>
        <c:tickLblPos val="nextTo"/>
        <c:crossAx val="2113849112"/>
        <c:crosses val="autoZero"/>
        <c:auto val="1"/>
        <c:lblAlgn val="ctr"/>
        <c:lblOffset val="100"/>
        <c:noMultiLvlLbl val="0"/>
      </c:catAx>
      <c:valAx>
        <c:axId val="2113849112"/>
        <c:scaling>
          <c:orientation val="minMax"/>
        </c:scaling>
        <c:delete val="0"/>
        <c:axPos val="l"/>
        <c:majorGridlines/>
        <c:numFmt formatCode="General" sourceLinked="1"/>
        <c:majorTickMark val="none"/>
        <c:minorTickMark val="none"/>
        <c:tickLblPos val="nextTo"/>
        <c:crossAx val="211384599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Writing 2014 Male/Female</a:t>
            </a:r>
            <a:endParaRPr lang="en-NZ">
              <a:effectLst/>
            </a:endParaRPr>
          </a:p>
        </c:rich>
      </c:tx>
      <c:overlay val="0"/>
    </c:title>
    <c:autoTitleDeleted val="0"/>
    <c:plotArea>
      <c:layout/>
      <c:barChart>
        <c:barDir val="col"/>
        <c:grouping val="clustered"/>
        <c:varyColors val="0"/>
        <c:ser>
          <c:idx val="0"/>
          <c:order val="0"/>
          <c:tx>
            <c:strRef>
              <c:f>'Male Female comparison 2014'!$O$9</c:f>
              <c:strCache>
                <c:ptCount val="1"/>
                <c:pt idx="0">
                  <c:v>Male</c:v>
                </c:pt>
              </c:strCache>
            </c:strRef>
          </c:tx>
          <c:invertIfNegative val="0"/>
          <c:cat>
            <c:strRef>
              <c:f>'Male Female comparison 2014'!$P$8:$S$8</c:f>
              <c:strCache>
                <c:ptCount val="4"/>
                <c:pt idx="0">
                  <c:v>Above</c:v>
                </c:pt>
                <c:pt idx="1">
                  <c:v>At</c:v>
                </c:pt>
                <c:pt idx="2">
                  <c:v>Below</c:v>
                </c:pt>
                <c:pt idx="3">
                  <c:v>Well Below</c:v>
                </c:pt>
              </c:strCache>
            </c:strRef>
          </c:cat>
          <c:val>
            <c:numRef>
              <c:f>'Male Female comparison 2014'!$P$9:$S$9</c:f>
              <c:numCache>
                <c:formatCode>General</c:formatCode>
                <c:ptCount val="4"/>
                <c:pt idx="0">
                  <c:v>21.0</c:v>
                </c:pt>
                <c:pt idx="1">
                  <c:v>62.0</c:v>
                </c:pt>
                <c:pt idx="2">
                  <c:v>15.0</c:v>
                </c:pt>
                <c:pt idx="3">
                  <c:v>2.0</c:v>
                </c:pt>
              </c:numCache>
            </c:numRef>
          </c:val>
        </c:ser>
        <c:ser>
          <c:idx val="1"/>
          <c:order val="1"/>
          <c:tx>
            <c:strRef>
              <c:f>'Male Female comparison 2014'!$O$10</c:f>
              <c:strCache>
                <c:ptCount val="1"/>
                <c:pt idx="0">
                  <c:v>Female</c:v>
                </c:pt>
              </c:strCache>
            </c:strRef>
          </c:tx>
          <c:invertIfNegative val="0"/>
          <c:cat>
            <c:strRef>
              <c:f>'Male Female comparison 2014'!$P$8:$S$8</c:f>
              <c:strCache>
                <c:ptCount val="4"/>
                <c:pt idx="0">
                  <c:v>Above</c:v>
                </c:pt>
                <c:pt idx="1">
                  <c:v>At</c:v>
                </c:pt>
                <c:pt idx="2">
                  <c:v>Below</c:v>
                </c:pt>
                <c:pt idx="3">
                  <c:v>Well Below</c:v>
                </c:pt>
              </c:strCache>
            </c:strRef>
          </c:cat>
          <c:val>
            <c:numRef>
              <c:f>'Male Female comparison 2014'!$P$10:$S$10</c:f>
              <c:numCache>
                <c:formatCode>General</c:formatCode>
                <c:ptCount val="4"/>
                <c:pt idx="0">
                  <c:v>33.0</c:v>
                </c:pt>
                <c:pt idx="1">
                  <c:v>58.0</c:v>
                </c:pt>
                <c:pt idx="2">
                  <c:v>7.0</c:v>
                </c:pt>
                <c:pt idx="3">
                  <c:v>1.0</c:v>
                </c:pt>
              </c:numCache>
            </c:numRef>
          </c:val>
        </c:ser>
        <c:dLbls>
          <c:showLegendKey val="0"/>
          <c:showVal val="0"/>
          <c:showCatName val="0"/>
          <c:showSerName val="0"/>
          <c:showPercent val="0"/>
          <c:showBubbleSize val="0"/>
        </c:dLbls>
        <c:gapWidth val="150"/>
        <c:axId val="2085080920"/>
        <c:axId val="2085083864"/>
      </c:barChart>
      <c:catAx>
        <c:axId val="2085080920"/>
        <c:scaling>
          <c:orientation val="minMax"/>
        </c:scaling>
        <c:delete val="0"/>
        <c:axPos val="b"/>
        <c:majorTickMark val="none"/>
        <c:minorTickMark val="none"/>
        <c:tickLblPos val="nextTo"/>
        <c:crossAx val="2085083864"/>
        <c:crosses val="autoZero"/>
        <c:auto val="1"/>
        <c:lblAlgn val="ctr"/>
        <c:lblOffset val="100"/>
        <c:noMultiLvlLbl val="0"/>
      </c:catAx>
      <c:valAx>
        <c:axId val="2085083864"/>
        <c:scaling>
          <c:orientation val="minMax"/>
        </c:scaling>
        <c:delete val="0"/>
        <c:axPos val="l"/>
        <c:majorGridlines/>
        <c:numFmt formatCode="General" sourceLinked="1"/>
        <c:majorTickMark val="none"/>
        <c:minorTickMark val="none"/>
        <c:tickLblPos val="nextTo"/>
        <c:crossAx val="208508092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800" b="1" i="0" baseline="0">
                <a:effectLst/>
              </a:rPr>
              <a:t>Writing 2014 Maori /Euro Comparison</a:t>
            </a:r>
            <a:endParaRPr lang="en-NZ">
              <a:effectLst/>
            </a:endParaRPr>
          </a:p>
        </c:rich>
      </c:tx>
      <c:overlay val="0"/>
    </c:title>
    <c:autoTitleDeleted val="0"/>
    <c:plotArea>
      <c:layout/>
      <c:barChart>
        <c:barDir val="col"/>
        <c:grouping val="clustered"/>
        <c:varyColors val="0"/>
        <c:ser>
          <c:idx val="0"/>
          <c:order val="0"/>
          <c:tx>
            <c:strRef>
              <c:f>'Maori Euro comparison 2014'!$O$18</c:f>
              <c:strCache>
                <c:ptCount val="1"/>
                <c:pt idx="0">
                  <c:v>Maori</c:v>
                </c:pt>
              </c:strCache>
            </c:strRef>
          </c:tx>
          <c:invertIfNegative val="0"/>
          <c:cat>
            <c:strRef>
              <c:f>'Maori Euro comparison 2014'!$P$17:$S$17</c:f>
              <c:strCache>
                <c:ptCount val="4"/>
                <c:pt idx="0">
                  <c:v>Above</c:v>
                </c:pt>
                <c:pt idx="1">
                  <c:v>At</c:v>
                </c:pt>
                <c:pt idx="2">
                  <c:v>Below</c:v>
                </c:pt>
                <c:pt idx="3">
                  <c:v>Well Below</c:v>
                </c:pt>
              </c:strCache>
            </c:strRef>
          </c:cat>
          <c:val>
            <c:numRef>
              <c:f>'Maori Euro comparison 2014'!$P$18:$S$18</c:f>
              <c:numCache>
                <c:formatCode>#,##0</c:formatCode>
                <c:ptCount val="4"/>
                <c:pt idx="0">
                  <c:v>20.0</c:v>
                </c:pt>
                <c:pt idx="1">
                  <c:v>56.0</c:v>
                </c:pt>
                <c:pt idx="2">
                  <c:v>20.0</c:v>
                </c:pt>
                <c:pt idx="3" formatCode="##0">
                  <c:v>4.0</c:v>
                </c:pt>
              </c:numCache>
            </c:numRef>
          </c:val>
        </c:ser>
        <c:ser>
          <c:idx val="1"/>
          <c:order val="1"/>
          <c:tx>
            <c:strRef>
              <c:f>'Maori Euro comparison 2014'!$O$19</c:f>
              <c:strCache>
                <c:ptCount val="1"/>
                <c:pt idx="0">
                  <c:v>NZ/European</c:v>
                </c:pt>
              </c:strCache>
            </c:strRef>
          </c:tx>
          <c:invertIfNegative val="0"/>
          <c:cat>
            <c:strRef>
              <c:f>'Maori Euro comparison 2014'!$P$17:$S$17</c:f>
              <c:strCache>
                <c:ptCount val="4"/>
                <c:pt idx="0">
                  <c:v>Above</c:v>
                </c:pt>
                <c:pt idx="1">
                  <c:v>At</c:v>
                </c:pt>
                <c:pt idx="2">
                  <c:v>Below</c:v>
                </c:pt>
                <c:pt idx="3">
                  <c:v>Well Below</c:v>
                </c:pt>
              </c:strCache>
            </c:strRef>
          </c:cat>
          <c:val>
            <c:numRef>
              <c:f>'Maori Euro comparison 2014'!$P$19:$S$19</c:f>
              <c:numCache>
                <c:formatCode>#,##0</c:formatCode>
                <c:ptCount val="4"/>
                <c:pt idx="0">
                  <c:v>28.0</c:v>
                </c:pt>
                <c:pt idx="1">
                  <c:v>59.0</c:v>
                </c:pt>
                <c:pt idx="2">
                  <c:v>11.0</c:v>
                </c:pt>
                <c:pt idx="3" formatCode="##0">
                  <c:v>1.0</c:v>
                </c:pt>
              </c:numCache>
            </c:numRef>
          </c:val>
        </c:ser>
        <c:dLbls>
          <c:showLegendKey val="0"/>
          <c:showVal val="0"/>
          <c:showCatName val="0"/>
          <c:showSerName val="0"/>
          <c:showPercent val="0"/>
          <c:showBubbleSize val="0"/>
        </c:dLbls>
        <c:gapWidth val="150"/>
        <c:axId val="2085135576"/>
        <c:axId val="2085138520"/>
      </c:barChart>
      <c:catAx>
        <c:axId val="2085135576"/>
        <c:scaling>
          <c:orientation val="minMax"/>
        </c:scaling>
        <c:delete val="0"/>
        <c:axPos val="b"/>
        <c:majorTickMark val="none"/>
        <c:minorTickMark val="none"/>
        <c:tickLblPos val="nextTo"/>
        <c:crossAx val="2085138520"/>
        <c:crosses val="autoZero"/>
        <c:auto val="1"/>
        <c:lblAlgn val="ctr"/>
        <c:lblOffset val="100"/>
        <c:noMultiLvlLbl val="0"/>
      </c:catAx>
      <c:valAx>
        <c:axId val="2085138520"/>
        <c:scaling>
          <c:orientation val="minMax"/>
        </c:scaling>
        <c:delete val="0"/>
        <c:axPos val="l"/>
        <c:majorGridlines/>
        <c:numFmt formatCode="#,##0" sourceLinked="1"/>
        <c:majorTickMark val="none"/>
        <c:minorTickMark val="none"/>
        <c:tickLblPos val="nextTo"/>
        <c:crossAx val="20851355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18</Pages>
  <Words>3935</Words>
  <Characters>22431</Characters>
  <Application>Microsoft Macintosh Word</Application>
  <DocSecurity>0</DocSecurity>
  <Lines>186</Lines>
  <Paragraphs>52</Paragraphs>
  <ScaleCrop>false</ScaleCrop>
  <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Gustafsson</dc:creator>
  <cp:keywords/>
  <dc:description/>
  <cp:lastModifiedBy>Hayes Gustafsson</cp:lastModifiedBy>
  <cp:revision>2</cp:revision>
  <dcterms:created xsi:type="dcterms:W3CDTF">2015-11-16T07:42:00Z</dcterms:created>
  <dcterms:modified xsi:type="dcterms:W3CDTF">2015-11-18T04:15:00Z</dcterms:modified>
</cp:coreProperties>
</file>