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0"/>
        <w:jc w:val="center"/>
        <w:rPr>
          <w:rFonts w:ascii="Quicksand" w:cs="Quicksand" w:eastAsia="Quicksand" w:hAnsi="Quicksand"/>
          <w:b w:val="1"/>
          <w:sz w:val="24"/>
          <w:szCs w:val="24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u w:val="single"/>
          <w:rtl w:val="0"/>
        </w:rPr>
        <w:t xml:space="preserve">Ashgrove Collaborative Planning Process</w:t>
      </w:r>
    </w:p>
    <w:p w:rsidR="00000000" w:rsidDel="00000000" w:rsidP="00000000" w:rsidRDefault="00000000" w:rsidRPr="00000000" w14:paraId="00000002">
      <w:pPr>
        <w:spacing w:line="276" w:lineRule="auto"/>
        <w:ind w:right="0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u w:val="single"/>
          <w:rtl w:val="0"/>
        </w:rPr>
        <w:t xml:space="preserve">Step 1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ab/>
        <w:t xml:space="preserve">Review Norms: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5267325</wp:posOffset>
            </wp:positionH>
            <wp:positionV relativeFrom="paragraph">
              <wp:posOffset>114300</wp:posOffset>
            </wp:positionV>
            <wp:extent cx="1470436" cy="69437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436" cy="6943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ind w:right="0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ab/>
        <w:t xml:space="preserve">Review Goal:</w:t>
      </w:r>
    </w:p>
    <w:p w:rsidR="00000000" w:rsidDel="00000000" w:rsidP="00000000" w:rsidRDefault="00000000" w:rsidRPr="00000000" w14:paraId="00000004">
      <w:pPr>
        <w:spacing w:line="276" w:lineRule="auto"/>
        <w:ind w:right="0"/>
        <w:rPr>
          <w:rFonts w:ascii="Quicksand" w:cs="Quicksand" w:eastAsia="Quicksand" w:hAnsi="Quicksa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0"/>
        <w:rPr>
          <w:rFonts w:ascii="Quicksand" w:cs="Quicksand" w:eastAsia="Quicksand" w:hAnsi="Quicksand"/>
          <w:b w:val="1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274e13"/>
          <w:sz w:val="20"/>
          <w:szCs w:val="20"/>
          <w:u w:val="single"/>
          <w:rtl w:val="0"/>
        </w:rPr>
        <w:t xml:space="preserve">Step 2</w:t>
      </w:r>
      <w:r w:rsidDel="00000000" w:rsidR="00000000" w:rsidRPr="00000000">
        <w:rPr>
          <w:rFonts w:ascii="Quicksand" w:cs="Quicksand" w:eastAsia="Quicksand" w:hAnsi="Quicksand"/>
          <w:b w:val="1"/>
          <w:color w:val="274e13"/>
          <w:sz w:val="20"/>
          <w:szCs w:val="20"/>
          <w:rtl w:val="0"/>
        </w:rPr>
        <w:t xml:space="preserve"> - (only when you start a new unit; not every meeting)</w:t>
      </w:r>
    </w:p>
    <w:p w:rsidR="00000000" w:rsidDel="00000000" w:rsidP="00000000" w:rsidRDefault="00000000" w:rsidRPr="00000000" w14:paraId="00000006">
      <w:pPr>
        <w:spacing w:line="276" w:lineRule="auto"/>
        <w:ind w:right="0" w:firstLine="72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274e13"/>
          <w:sz w:val="20"/>
          <w:szCs w:val="20"/>
          <w:rtl w:val="0"/>
        </w:rPr>
        <w:t xml:space="preserve">Look at upcoming unit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900" w:hanging="180"/>
        <w:rPr>
          <w:rFonts w:ascii="Quicksand" w:cs="Quicksand" w:eastAsia="Quicksand" w:hAnsi="Quicksand"/>
          <w:b w:val="0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Determine essential priority standard(s)</w:t>
      </w:r>
      <w:r w:rsidDel="00000000" w:rsidR="00000000" w:rsidRPr="00000000">
        <w:rPr>
          <w:rFonts w:ascii="Quicksand" w:cs="Quicksand" w:eastAsia="Quicksand" w:hAnsi="Quicksand"/>
          <w:b w:val="1"/>
          <w:color w:val="274e1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and focus for this unit- within the priority standards, what are the ABSOLUTE MUST HAVES to move on to the next grade level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900" w:hanging="180"/>
        <w:rPr>
          <w:rFonts w:ascii="Quicksand" w:cs="Quicksand" w:eastAsia="Quicksand" w:hAnsi="Quicksand"/>
          <w:b w:val="0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Before delivery of the Unit of Instruction, please review the Common End of Unit Assessment for the following items:</w:t>
      </w:r>
    </w:p>
    <w:p w:rsidR="00000000" w:rsidDel="00000000" w:rsidP="00000000" w:rsidRDefault="00000000" w:rsidRPr="00000000" w14:paraId="00000009">
      <w:pPr>
        <w:numPr>
          <w:ilvl w:val="1"/>
          <w:numId w:val="8"/>
        </w:numPr>
        <w:ind w:left="1440" w:hanging="27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Review the Proficiency Scale to assure a tightly aligned match to the learner expectation of the Priority Standards in the Unit of Instruction.</w:t>
      </w:r>
    </w:p>
    <w:p w:rsidR="00000000" w:rsidDel="00000000" w:rsidP="00000000" w:rsidRDefault="00000000" w:rsidRPr="00000000" w14:paraId="0000000A">
      <w:pPr>
        <w:numPr>
          <w:ilvl w:val="2"/>
          <w:numId w:val="8"/>
        </w:numPr>
        <w:ind w:left="1980" w:hanging="180"/>
        <w:rPr>
          <w:rFonts w:ascii="Quicksand" w:cs="Quicksand" w:eastAsia="Quicksand" w:hAnsi="Quicksand"/>
          <w:color w:val="274e13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Pay specific attention to the representation of the priority concepts and skills</w:t>
      </w:r>
    </w:p>
    <w:p w:rsidR="00000000" w:rsidDel="00000000" w:rsidP="00000000" w:rsidRDefault="00000000" w:rsidRPr="00000000" w14:paraId="0000000B">
      <w:pPr>
        <w:numPr>
          <w:ilvl w:val="2"/>
          <w:numId w:val="8"/>
        </w:numPr>
        <w:ind w:left="1980" w:hanging="180"/>
        <w:rPr>
          <w:rFonts w:ascii="Quicksand" w:cs="Quicksand" w:eastAsia="Quicksand" w:hAnsi="Quicksand"/>
          <w:color w:val="274e13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Pay specific attention to the level of cognitive demand. What does the verb say kids should be doing?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ind w:left="1440" w:hanging="27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Review the questions to assure a match to the expectations in the Proficiency Scale.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980" w:hanging="180"/>
        <w:rPr>
          <w:rFonts w:ascii="Quicksand" w:cs="Quicksand" w:eastAsia="Quicksand" w:hAnsi="Quicksand"/>
          <w:color w:val="274e13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Pay specific attention to the representation of the priority concepts and 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980" w:hanging="180"/>
        <w:rPr>
          <w:rFonts w:ascii="Quicksand" w:cs="Quicksand" w:eastAsia="Quicksand" w:hAnsi="Quicksand"/>
          <w:color w:val="274e13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Pay specific attention to the level of cognitive demand..what does the verb say kids should be doing.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ind w:left="1440" w:hanging="27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Do you have common, written administration procedures to assure consistency between classrooms?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ind w:left="1440" w:hanging="27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Decide how the team will record the student performance data so that you can use it during your PLC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8"/>
        </w:numPr>
        <w:spacing w:line="276" w:lineRule="auto"/>
        <w:ind w:left="1980" w:right="0" w:hanging="180"/>
        <w:rPr>
          <w:color w:val="274e13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Deconstruct priority standard (verb, noun, context)</w:t>
      </w:r>
      <w:r w:rsidDel="00000000" w:rsidR="00000000" w:rsidRPr="00000000">
        <w:rPr>
          <w:rFonts w:ascii="Quicksand" w:cs="Quicksand" w:eastAsia="Quicksand" w:hAnsi="Quicksand"/>
          <w:b w:val="1"/>
          <w:color w:val="274e1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2"/>
          <w:numId w:val="8"/>
        </w:numPr>
        <w:spacing w:line="276" w:lineRule="auto"/>
        <w:ind w:left="1980" w:right="0" w:hanging="180"/>
        <w:rPr>
          <w:rFonts w:ascii="Quicksand" w:cs="Quicksand" w:eastAsia="Quicksand" w:hAnsi="Quicksand"/>
          <w:color w:val="274e13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Resources: What do you have? What do you need? 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ind w:left="1440" w:hanging="27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Checking for </w:t>
      </w:r>
      <w:r w:rsidDel="00000000" w:rsidR="00000000" w:rsidRPr="00000000">
        <w:rPr>
          <w:rFonts w:ascii="Quicksand" w:cs="Quicksand" w:eastAsia="Quicksand" w:hAnsi="Quicksand"/>
          <w:b w:val="1"/>
          <w:color w:val="274e13"/>
          <w:sz w:val="20"/>
          <w:szCs w:val="20"/>
          <w:rtl w:val="0"/>
        </w:rPr>
        <w:t xml:space="preserve">Critical Prerequisite Skills</w:t>
      </w:r>
      <w:r w:rsidDel="00000000" w:rsidR="00000000" w:rsidRPr="00000000">
        <w:rPr>
          <w:rFonts w:ascii="Quicksand" w:cs="Quicksand" w:eastAsia="Quicksand" w:hAnsi="Quicksand"/>
          <w:b w:val="1"/>
          <w:color w:val="6aa84f"/>
          <w:sz w:val="20"/>
          <w:szCs w:val="20"/>
          <w:rtl w:val="0"/>
        </w:rPr>
        <w:t xml:space="preserve"> (This is different from pre/post assessment)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980" w:hanging="18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Decide which critical prerequisite skills need to be in place before beginning Unit Instruction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980" w:hanging="18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Develop some options for assessing pre requisite skills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2340" w:hanging="18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No need for a proficiency scale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2340" w:hanging="18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Should be quick and give you immediate feedback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1980" w:hanging="180"/>
        <w:rPr>
          <w:rFonts w:ascii="Quicksand" w:cs="Quicksand" w:eastAsia="Quicksand" w:hAnsi="Quicksand"/>
          <w:color w:val="274e13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color w:val="274e13"/>
          <w:sz w:val="20"/>
          <w:szCs w:val="20"/>
          <w:rtl w:val="0"/>
        </w:rPr>
        <w:t xml:space="preserve">Plan for addressing missing prerequisite skills before starting Unit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u w:val="single"/>
          <w:rtl w:val="0"/>
        </w:rPr>
        <w:t xml:space="preserve">Step 3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0"/>
          <w:szCs w:val="20"/>
          <w:rtl w:val="0"/>
        </w:rPr>
        <w:t xml:space="preserve">CHUNK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Essential Standard(s) for instruction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line="276" w:lineRule="auto"/>
        <w:ind w:left="1440" w:right="0" w:hanging="270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Design a CFA (common formative assessment) (CHECK for Understanding)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980" w:hanging="18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Again, pay attention to the level of rigor...does the level of rigor on the formative assessment match the expectations on the summative assessment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980" w:hanging="18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You do not need a proficiency scale for a common formative assessment.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980" w:hanging="18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Determine assessment window for administering the CFA and the PLC dates you will use to review the CFA data; if they don’t have these skills on the CFA..we have to stop and reteach them.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980" w:hanging="180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How will you record student performance data so that you can use it during your PLC meetings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144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Scaffold Learning Target(s) to inform Lesson planning and determine Formative Assessments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line="276" w:lineRule="auto"/>
        <w:ind w:left="2160" w:right="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What are the steps needed to master essential standard? (CHUNK - Prerequisite skills or benchmarks and align to a formative assessment- how are you going to check if they have mastered the learning targets?)</w:t>
      </w:r>
      <w:r w:rsidDel="00000000" w:rsidR="00000000" w:rsidRPr="00000000">
        <w:rPr>
          <w:rFonts w:ascii="Quicksand" w:cs="Quicksand" w:eastAsia="Quicksand" w:hAnsi="Quicksand"/>
          <w:b w:val="1"/>
          <w:color w:val="98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Learning Targets are </w:t>
      </w:r>
      <w:r w:rsidDel="00000000" w:rsidR="00000000" w:rsidRPr="00000000">
        <w:rPr>
          <w:rFonts w:ascii="Quicksand" w:cs="Quicksand" w:eastAsia="Quicksand" w:hAnsi="Quicksand"/>
          <w:b w:val="1"/>
          <w:color w:val="990000"/>
          <w:sz w:val="20"/>
          <w:szCs w:val="20"/>
          <w:rtl w:val="0"/>
        </w:rPr>
        <w:t xml:space="preserve">COMMON</w:t>
      </w:r>
    </w:p>
    <w:p w:rsidR="00000000" w:rsidDel="00000000" w:rsidP="00000000" w:rsidRDefault="00000000" w:rsidRPr="00000000" w14:paraId="00000022">
      <w:pPr>
        <w:numPr>
          <w:ilvl w:val="1"/>
          <w:numId w:val="12"/>
        </w:numPr>
        <w:spacing w:line="276" w:lineRule="auto"/>
        <w:ind w:left="2160" w:right="0" w:hanging="360"/>
        <w:rPr>
          <w:rFonts w:ascii="Quicksand" w:cs="Quicksand" w:eastAsia="Quicksand" w:hAnsi="Quicksand"/>
          <w:b w:val="1"/>
          <w:color w:val="990000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990000"/>
          <w:sz w:val="20"/>
          <w:szCs w:val="20"/>
          <w:rtl w:val="0"/>
        </w:rPr>
        <w:t xml:space="preserve">LEARNING TARGETS:</w:t>
      </w:r>
    </w:p>
    <w:p w:rsidR="00000000" w:rsidDel="00000000" w:rsidP="00000000" w:rsidRDefault="00000000" w:rsidRPr="00000000" w14:paraId="00000023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1243013" cy="759619"/>
            <wp:effectExtent b="0" l="0" r="0" t="0"/>
            <wp:wrapSquare wrapText="bothSides" distB="114300" distT="114300" distL="114300" distR="114300"/>
            <wp:docPr descr="Untitled.jpg" id="1" name="image1.jpg"/>
            <a:graphic>
              <a:graphicData uri="http://schemas.openxmlformats.org/drawingml/2006/picture">
                <pic:pic>
                  <pic:nvPicPr>
                    <pic:cNvPr descr="Untitled.jpg" id="0" name="image1.jpg"/>
                    <pic:cNvPicPr preferRelativeResize="0"/>
                  </pic:nvPicPr>
                  <pic:blipFill>
                    <a:blip r:embed="rId7"/>
                    <a:srcRect b="15070" l="0" r="2111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759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2"/>
          <w:numId w:val="11"/>
        </w:numPr>
        <w:spacing w:line="240" w:lineRule="auto"/>
        <w:ind w:left="324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Summative Assessment (the full standard)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900" w:right="0" w:hanging="27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INPUT this information on your Lesson Plan - Post only 1 daily and refer to it with students</w:t>
      </w:r>
    </w:p>
    <w:p w:rsidR="00000000" w:rsidDel="00000000" w:rsidP="00000000" w:rsidRDefault="00000000" w:rsidRPr="00000000" w14:paraId="0000002C">
      <w:pPr>
        <w:spacing w:line="276" w:lineRule="auto"/>
        <w:ind w:left="0" w:right="0" w:firstLine="0"/>
        <w:rPr>
          <w:rFonts w:ascii="Quicksand" w:cs="Quicksand" w:eastAsia="Quicksand" w:hAnsi="Quicksa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right="0" w:firstLine="0"/>
        <w:rPr>
          <w:rFonts w:ascii="Quicksand" w:cs="Quicksand" w:eastAsia="Quicksand" w:hAnsi="Quicksand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u w:val="single"/>
          <w:rtl w:val="0"/>
        </w:rPr>
        <w:t xml:space="preserve">Step 4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Plan (This occurs throughout the unit) 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yellow"/>
          <w:rtl w:val="0"/>
        </w:rPr>
        <w:t xml:space="preserve">NEEDS UPDATED</w:t>
      </w:r>
    </w:p>
    <w:p w:rsidR="00000000" w:rsidDel="00000000" w:rsidP="00000000" w:rsidRDefault="00000000" w:rsidRPr="00000000" w14:paraId="0000002E">
      <w:pPr>
        <w:spacing w:line="276" w:lineRule="auto"/>
        <w:ind w:left="0" w:right="0" w:firstLine="0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right="0" w:firstLine="0"/>
        <w:rPr>
          <w:rFonts w:ascii="Quicksand" w:cs="Quicksand" w:eastAsia="Quicksand" w:hAnsi="Quicksand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yellow"/>
          <w:rtl w:val="0"/>
        </w:rPr>
        <w:t xml:space="preserve">Workshop Lessons: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276" w:lineRule="auto"/>
        <w:ind w:left="1260" w:right="0" w:hanging="360"/>
        <w:rPr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 According to daily learning target, decide on an explicit teaching point. </w:t>
      </w:r>
      <w:r w:rsidDel="00000000" w:rsidR="00000000" w:rsidRPr="00000000">
        <w:rPr>
          <w:rFonts w:ascii="Quicksand" w:cs="Quicksand" w:eastAsia="Quicksand" w:hAnsi="Quicksand"/>
          <w:b w:val="1"/>
          <w:color w:val="cc0000"/>
          <w:sz w:val="20"/>
          <w:szCs w:val="20"/>
          <w:highlight w:val="yellow"/>
          <w:rtl w:val="0"/>
        </w:rPr>
        <w:t xml:space="preserve">COMMON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From teaching point, check core resource for possible lessons.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If aligned lesson exists, modify lesson to fit your students’ needs and include in lesson plan.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If lesson does not exist, draft mini lesson from teaching point to include COMMON Learning Target and Teaching point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76" w:lineRule="auto"/>
        <w:ind w:left="153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The following pieces can be planned individually or as a grade level.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spacing w:line="276" w:lineRule="auto"/>
        <w:ind w:left="198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Planning Mini lesson can be done - be sure to include Connection, Teach, Active Engagement with a check for understanding, and Link</w:t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spacing w:line="276" w:lineRule="auto"/>
        <w:ind w:left="198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Pl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an Independent Practice and Formative Assessment  for Learning Target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spacing w:line="276" w:lineRule="auto"/>
        <w:ind w:left="1980" w:right="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Teacher-led Small groups, conferring, Tier 2 or Tier 3 students, one-on-one (during independent practice)</w:t>
      </w:r>
    </w:p>
    <w:p w:rsidR="00000000" w:rsidDel="00000000" w:rsidP="00000000" w:rsidRDefault="00000000" w:rsidRPr="00000000" w14:paraId="00000038">
      <w:pPr>
        <w:spacing w:line="276" w:lineRule="auto"/>
        <w:ind w:right="0"/>
        <w:rPr>
          <w:rFonts w:ascii="Quicksand" w:cs="Quicksand" w:eastAsia="Quicksand" w:hAnsi="Quicksand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highlight w:val="yellow"/>
          <w:rtl w:val="0"/>
        </w:rPr>
        <w:t xml:space="preserve">Program Based Lessons: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1260" w:hanging="360"/>
        <w:rPr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Where can you insert the learning target for the Daily Lesson - how will you share this expectation with students?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126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Align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resource lessons to unit expectation and placement of CFA and adjust if necessary.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1260" w:hanging="360"/>
        <w:rPr>
          <w:rFonts w:ascii="Quicksand" w:cs="Quicksand" w:eastAsia="Quicksand" w:hAnsi="Quicksand"/>
          <w:sz w:val="20"/>
          <w:szCs w:val="20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yellow"/>
          <w:rtl w:val="0"/>
        </w:rPr>
        <w:t xml:space="preserve">If aligned lesson exists, modify lesson to fit your students’ needs and include in lesson plan.</w:t>
      </w:r>
    </w:p>
    <w:p w:rsidR="00000000" w:rsidDel="00000000" w:rsidP="00000000" w:rsidRDefault="00000000" w:rsidRPr="00000000" w14:paraId="0000003C">
      <w:pPr>
        <w:spacing w:line="276" w:lineRule="auto"/>
        <w:ind w:right="0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190500</wp:posOffset>
            </wp:positionV>
            <wp:extent cx="971550" cy="1314450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276" w:lineRule="auto"/>
        <w:ind w:left="0" w:right="0" w:firstLine="0"/>
        <w:rPr>
          <w:rFonts w:ascii="Quicksand" w:cs="Quicksand" w:eastAsia="Quicksand" w:hAnsi="Quicksan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0" w:right="0" w:firstLine="0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u w:val="single"/>
          <w:rtl w:val="0"/>
        </w:rPr>
        <w:t xml:space="preserve">Step 5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Reflection on planning process</w:t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Was the goal for collaborative time met? 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Did we respect our norms?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What still needs to be done? Who’s doing it and when?</w:t>
      </w:r>
    </w:p>
    <w:p w:rsidR="00000000" w:rsidDel="00000000" w:rsidP="00000000" w:rsidRDefault="00000000" w:rsidRPr="00000000" w14:paraId="00000042">
      <w:pPr>
        <w:numPr>
          <w:ilvl w:val="1"/>
          <w:numId w:val="11"/>
        </w:numPr>
        <w:spacing w:line="276" w:lineRule="auto"/>
        <w:ind w:left="1260" w:righ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Next steps?</w:t>
      </w:r>
    </w:p>
    <w:p w:rsidR="00000000" w:rsidDel="00000000" w:rsidP="00000000" w:rsidRDefault="00000000" w:rsidRPr="00000000" w14:paraId="00000043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720" w:right="0" w:firstLine="0"/>
        <w:rPr>
          <w:rFonts w:ascii="Quicksand" w:cs="Quicksand" w:eastAsia="Quicksand" w:hAnsi="Quicksa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50" w:right="0" w:firstLine="270"/>
        <w:rPr/>
      </w:pPr>
      <w:hyperlink r:id="rId9">
        <w:r w:rsidDel="00000000" w:rsidR="00000000" w:rsidRPr="00000000">
          <w:rPr>
            <w:rFonts w:ascii="Quicksand" w:cs="Quicksand" w:eastAsia="Quicksand" w:hAnsi="Quicksand"/>
            <w:color w:val="1155cc"/>
            <w:sz w:val="20"/>
            <w:szCs w:val="20"/>
            <w:u w:val="single"/>
            <w:rtl w:val="0"/>
          </w:rPr>
          <w:t xml:space="preserve">JoAnne’s Unit Planning Document </w:t>
        </w:r>
      </w:hyperlink>
      <w:r w:rsidDel="00000000" w:rsidR="00000000" w:rsidRPr="00000000">
        <w:rPr>
          <w:rtl w:val="0"/>
        </w:rPr>
        <w:tab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Use and Validation of the Unit of Instruction…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50" w:right="0" w:firstLine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50" w:right="0" w:firstLine="27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Ashgrove Collaborative Planning Unit Tool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50" w:right="0" w:firstLine="27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✻"/>
      <w:lvlJc w:val="left"/>
      <w:pPr>
        <w:ind w:left="288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⇾"/>
      <w:lvlJc w:val="left"/>
      <w:pPr>
        <w:ind w:left="2160" w:hanging="360"/>
      </w:pPr>
      <w:rPr>
        <w:rFonts w:ascii="Arial" w:cs="Arial" w:eastAsia="Arial" w:hAnsi="Arial"/>
        <w:b w:val="1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2880" w:hanging="360"/>
      </w:pPr>
      <w:rPr>
        <w:sz w:val="16"/>
        <w:szCs w:val="16"/>
        <w:u w:val="none"/>
      </w:rPr>
    </w:lvl>
    <w:lvl w:ilvl="1">
      <w:start w:val="1"/>
      <w:numFmt w:val="lowerRoman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■"/>
      <w:lvlJc w:val="left"/>
      <w:pPr>
        <w:ind w:left="2160" w:hanging="360"/>
      </w:pPr>
      <w:rPr>
        <w:sz w:val="16"/>
        <w:szCs w:val="16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z w:val="16"/>
        <w:szCs w:val="16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color w:val="990000"/>
        <w:u w:val="none"/>
        <w:shd w:fill="auto" w:val="clear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✻"/>
      <w:lvlJc w:val="left"/>
      <w:pPr>
        <w:ind w:left="2160" w:hanging="360"/>
      </w:pPr>
      <w:rPr>
        <w:sz w:val="16"/>
        <w:szCs w:val="16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X7wgFhToRUXqHYtX2vWn8ZiHnvO6q5llNDiWIJFZbZk" TargetMode="External"/><Relationship Id="rId10" Type="http://schemas.openxmlformats.org/officeDocument/2006/relationships/hyperlink" Target="https://docs.google.com/document/d/1Q6D5Ib9528lb_FBdc1zYQTDtMpOaVgg8iFrL02ZObNI/edit?usp=sharing" TargetMode="External"/><Relationship Id="rId9" Type="http://schemas.openxmlformats.org/officeDocument/2006/relationships/hyperlink" Target="https://docs.google.com/document/d/1VgP5iDPCO_Z-nDTA5P5SPjlduVLvs_uEw1MJEi2be1A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