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right="-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JERSEY AVENUE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-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QUADRANT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-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-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:                      </w:t>
        <w:tab/>
        <w:tab/>
        <w:t xml:space="preserve">    Reflection  Date: </w:t>
      </w:r>
    </w:p>
    <w:p w:rsidR="00000000" w:rsidDel="00000000" w:rsidP="00000000" w:rsidRDefault="00000000" w:rsidRPr="00000000">
      <w:pPr>
        <w:spacing w:line="240" w:lineRule="auto"/>
        <w:ind w:right="-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Teacher(s)   </w:t>
      </w:r>
    </w:p>
    <w:p w:rsidR="00000000" w:rsidDel="00000000" w:rsidP="00000000" w:rsidRDefault="00000000" w:rsidRPr="00000000">
      <w:pPr>
        <w:spacing w:line="240" w:lineRule="auto"/>
        <w:ind w:left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List students by name in a band according to your assessment results. </w:t>
      </w:r>
    </w:p>
    <w:p w:rsidR="00000000" w:rsidDel="00000000" w:rsidP="00000000" w:rsidRDefault="00000000" w:rsidRPr="00000000">
      <w:pPr>
        <w:spacing w:line="240" w:lineRule="auto"/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EL students =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u w:val="single"/>
          <w:rtl w:val="0"/>
        </w:rPr>
        <w:t xml:space="preserve">yellow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SWD students =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magenta"/>
          <w:u w:val="single"/>
          <w:rtl w:val="0"/>
        </w:rPr>
        <w:t xml:space="preserve">pink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Socio-economically Disadvantaged students =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green"/>
          <w:u w:val="single"/>
          <w:rtl w:val="0"/>
        </w:rPr>
        <w:t xml:space="preserve">green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THINK students = TT, and star Focus Students.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3) Note number in each band and calculate % of  total class for each band.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4) Plan strategies for helping students jump bands for next unit.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40.0" w:type="dxa"/>
        <w:jc w:val="left"/>
        <w:tblInd w:w="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520"/>
        <w:gridCol w:w="2595"/>
        <w:gridCol w:w="2550"/>
        <w:tblGridChange w:id="0">
          <w:tblGrid>
            <w:gridCol w:w="2775"/>
            <w:gridCol w:w="2520"/>
            <w:gridCol w:w="2595"/>
            <w:gridCol w:w="2550"/>
          </w:tblGrid>
        </w:tblGridChange>
      </w:tblGrid>
      <w:tr>
        <w:trPr>
          <w:trHeight w:val="540" w:hRule="atLeast"/>
        </w:trPr>
        <w:tc>
          <w:tcPr>
            <w:gridSpan w:val="2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Challenge</w:t>
            </w:r>
          </w:p>
        </w:tc>
        <w:tc>
          <w:tcPr>
            <w:gridSpan w:val="2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Benchmark</w:t>
            </w:r>
          </w:p>
        </w:tc>
      </w:tr>
      <w:tr>
        <w:trPr>
          <w:trHeight w:val="4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100%-90 Grade= A/5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89% - 75%  GRADE = B /4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Strategic</w:t>
            </w:r>
          </w:p>
        </w:tc>
        <w:tc>
          <w:tcPr>
            <w:gridSpan w:val="2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Intensive</w:t>
            </w:r>
          </w:p>
        </w:tc>
      </w:tr>
      <w:tr>
        <w:trPr>
          <w:trHeight w:val="2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2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50"/>
              <w:gridCol w:w="1290"/>
              <w:tblGridChange w:id="0">
                <w:tblGrid>
                  <w:gridCol w:w="750"/>
                  <w:gridCol w:w="129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green"/>
                      <w:rtl w:val="0"/>
                    </w:rPr>
                    <w:t xml:space="preserve">SED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magenta"/>
                      <w:rtl w:val="0"/>
                    </w:rPr>
                    <w:t xml:space="preserve">SWD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  <w:rtl w:val="0"/>
                    </w:rPr>
                    <w:t xml:space="preserve">EL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74% - 60%  GRADE = C /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59% - 0%  GRADE = D or F / 2 or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/>
    </w:tblPr>
    <w:tblStylePr w:type="band1Horz">
      <w:pPr>
        <w:contextualSpacing w:val="1"/>
      </w:pPr>
      <w:rPr/>
      <w:tcPr/>
    </w:tblStylePr>
    <w:tblStylePr w:type="band1Vert">
      <w:pPr>
        <w:contextualSpacing w:val="1"/>
      </w:pPr>
      <w:rPr/>
      <w:tcPr/>
    </w:tblStylePr>
    <w:tblStylePr w:type="band2Horz">
      <w:pPr>
        <w:contextualSpacing w:val="1"/>
      </w:pPr>
      <w:rPr/>
      <w:tcPr/>
    </w:tblStylePr>
    <w:tblStylePr w:type="band2Vert">
      <w:pPr>
        <w:contextualSpacing w:val="1"/>
      </w:pPr>
      <w:rPr/>
      <w:tcPr/>
    </w:tblStylePr>
    <w:tblStylePr w:type="firstCol">
      <w:pPr>
        <w:contextualSpacing w:val="1"/>
      </w:pPr>
      <w:rPr/>
      <w:tcPr/>
    </w:tblStylePr>
    <w:tblStylePr w:type="firstRow">
      <w:pPr>
        <w:contextualSpacing w:val="1"/>
      </w:pPr>
      <w:rPr/>
      <w:tcPr/>
    </w:tblStylePr>
    <w:tblStylePr w:type="lastCol">
      <w:pPr>
        <w:contextualSpacing w:val="1"/>
      </w:pPr>
      <w:rPr/>
      <w:tcPr/>
    </w:tblStylePr>
    <w:tblStylePr w:type="lastRow">
      <w:pPr>
        <w:contextualSpacing w:val="1"/>
      </w:pPr>
      <w:rPr/>
      <w:tcPr/>
    </w:tblStylePr>
    <w:tblStylePr w:type="neCell">
      <w:pPr>
        <w:contextualSpacing w:val="1"/>
      </w:pPr>
      <w:rPr/>
      <w:tcPr/>
    </w:tblStylePr>
    <w:tblStylePr w:type="nwCell">
      <w:pPr>
        <w:contextualSpacing w:val="1"/>
      </w:pPr>
      <w:rPr/>
      <w:tcPr/>
    </w:tblStylePr>
    <w:tblStylePr w:type="seCell">
      <w:pPr>
        <w:contextualSpacing w:val="1"/>
      </w:pPr>
      <w:rPr/>
      <w:tcPr/>
    </w:tblStylePr>
    <w:tblStylePr w:type="swCell">
      <w:pPr>
        <w:contextualSpacing w:val="1"/>
      </w:pPr>
      <w:rPr/>
      <w:tcPr/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/>
    </w:tblPr>
    <w:tblStylePr w:type="band1Horz">
      <w:pPr>
        <w:contextualSpacing w:val="1"/>
      </w:pPr>
      <w:rPr/>
      <w:tcPr/>
    </w:tblStylePr>
    <w:tblStylePr w:type="band1Vert">
      <w:pPr>
        <w:contextualSpacing w:val="1"/>
      </w:pPr>
      <w:rPr/>
      <w:tcPr/>
    </w:tblStylePr>
    <w:tblStylePr w:type="band2Horz">
      <w:pPr>
        <w:contextualSpacing w:val="1"/>
      </w:pPr>
      <w:rPr/>
      <w:tcPr/>
    </w:tblStylePr>
    <w:tblStylePr w:type="band2Vert">
      <w:pPr>
        <w:contextualSpacing w:val="1"/>
      </w:pPr>
      <w:rPr/>
      <w:tcPr/>
    </w:tblStylePr>
    <w:tblStylePr w:type="firstCol">
      <w:pPr>
        <w:contextualSpacing w:val="1"/>
      </w:pPr>
      <w:rPr/>
      <w:tcPr/>
    </w:tblStylePr>
    <w:tblStylePr w:type="firstRow">
      <w:pPr>
        <w:contextualSpacing w:val="1"/>
      </w:pPr>
      <w:rPr/>
      <w:tcPr/>
    </w:tblStylePr>
    <w:tblStylePr w:type="lastCol">
      <w:pPr>
        <w:contextualSpacing w:val="1"/>
      </w:pPr>
      <w:rPr/>
      <w:tcPr/>
    </w:tblStylePr>
    <w:tblStylePr w:type="lastRow">
      <w:pPr>
        <w:contextualSpacing w:val="1"/>
      </w:pPr>
      <w:rPr/>
      <w:tcPr/>
    </w:tblStylePr>
    <w:tblStylePr w:type="neCell">
      <w:pPr>
        <w:contextualSpacing w:val="1"/>
      </w:pPr>
      <w:rPr/>
      <w:tcPr/>
    </w:tblStylePr>
    <w:tblStylePr w:type="nwCell">
      <w:pPr>
        <w:contextualSpacing w:val="1"/>
      </w:pPr>
      <w:rPr/>
      <w:tcPr/>
    </w:tblStylePr>
    <w:tblStylePr w:type="seCell">
      <w:pPr>
        <w:contextualSpacing w:val="1"/>
      </w:pPr>
      <w:rPr/>
      <w:tcPr/>
    </w:tblStylePr>
    <w:tblStylePr w:type="swCell">
      <w:pPr>
        <w:contextualSpacing w:val="1"/>
      </w:pPr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