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2C7C" w:rsidRDefault="001604DC">
      <w:pPr>
        <w:spacing w:line="240" w:lineRule="auto"/>
        <w:jc w:val="center"/>
        <w:rPr>
          <w:rFonts w:ascii="Times New Roman" w:eastAsia="Times New Roman" w:hAnsi="Times New Roman" w:cs="Times New Roman"/>
          <w:sz w:val="26"/>
          <w:szCs w:val="26"/>
          <w:u w:val="single"/>
        </w:rPr>
      </w:pPr>
      <w:bookmarkStart w:id="0" w:name="_gjdgxs" w:colFirst="0" w:colLast="0"/>
      <w:bookmarkEnd w:id="0"/>
      <w:r>
        <w:rPr>
          <w:rFonts w:ascii="Times New Roman" w:eastAsia="Times New Roman" w:hAnsi="Times New Roman" w:cs="Times New Roman"/>
          <w:sz w:val="24"/>
          <w:szCs w:val="24"/>
          <w:u w:val="single"/>
        </w:rPr>
        <w:t>CHRONIC ABSENTEEISM TABLE</w:t>
      </w:r>
    </w:p>
    <w:p w14:paraId="00000002" w14:textId="77777777" w:rsidR="00692C7C" w:rsidRDefault="00692C7C">
      <w:pPr>
        <w:spacing w:line="240" w:lineRule="auto"/>
        <w:rPr>
          <w:rFonts w:ascii="Times New Roman" w:eastAsia="Times New Roman" w:hAnsi="Times New Roman" w:cs="Times New Roman"/>
          <w:sz w:val="26"/>
          <w:szCs w:val="26"/>
        </w:rPr>
      </w:pPr>
    </w:p>
    <w:p w14:paraId="00000003" w14:textId="48143081" w:rsidR="00692C7C" w:rsidRDefault="001604DC">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The New Jersey School Performance Report evaluates information on school attendance. Student absences provide important information about a school’s culture and climate. Research shows that absences impact a student’s ability to succeed in school. The New </w:t>
      </w:r>
      <w:r>
        <w:rPr>
          <w:rFonts w:ascii="Times New Roman" w:eastAsia="Times New Roman" w:hAnsi="Times New Roman" w:cs="Times New Roman"/>
          <w:sz w:val="24"/>
          <w:szCs w:val="24"/>
        </w:rPr>
        <w:t xml:space="preserve">Jersey Department of Education used input from New Jersey communities to select chronic absenteeism as a measure of school quality and student success </w:t>
      </w:r>
      <w:r w:rsidR="004A2CC3">
        <w:rPr>
          <w:rFonts w:ascii="Times New Roman" w:eastAsia="Times New Roman" w:hAnsi="Times New Roman" w:cs="Times New Roman"/>
          <w:sz w:val="24"/>
          <w:szCs w:val="24"/>
        </w:rPr>
        <w:t>within</w:t>
      </w:r>
      <w:r>
        <w:rPr>
          <w:rFonts w:ascii="Times New Roman" w:eastAsia="Times New Roman" w:hAnsi="Times New Roman" w:cs="Times New Roman"/>
          <w:sz w:val="24"/>
          <w:szCs w:val="24"/>
        </w:rPr>
        <w:t xml:space="preserve"> the</w:t>
      </w:r>
      <w:r w:rsidR="004A2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Every Student Succeeds Act (ESSA) accountability plan. </w:t>
      </w:r>
      <w:r>
        <w:rPr>
          <w:rFonts w:ascii="Times New Roman" w:eastAsia="Times New Roman" w:hAnsi="Times New Roman" w:cs="Times New Roman"/>
          <w:b/>
          <w:sz w:val="24"/>
          <w:szCs w:val="24"/>
        </w:rPr>
        <w:t xml:space="preserve">Chronic absenteeism </w:t>
      </w:r>
      <w:r>
        <w:rPr>
          <w:rFonts w:ascii="Times New Roman" w:eastAsia="Times New Roman" w:hAnsi="Times New Roman" w:cs="Times New Roman"/>
          <w:sz w:val="24"/>
          <w:szCs w:val="24"/>
        </w:rPr>
        <w:t>is defined as being ab</w:t>
      </w:r>
      <w:r>
        <w:rPr>
          <w:rFonts w:ascii="Times New Roman" w:eastAsia="Times New Roman" w:hAnsi="Times New Roman" w:cs="Times New Roman"/>
          <w:sz w:val="24"/>
          <w:szCs w:val="24"/>
        </w:rPr>
        <w:t>sent for 10% or more of the days enrolled during a school year. Students with fewer than 45 days in membership are excluded from attendance calculations.</w:t>
      </w:r>
    </w:p>
    <w:p w14:paraId="00000004" w14:textId="77777777" w:rsidR="00692C7C" w:rsidRDefault="00692C7C">
      <w:pPr>
        <w:spacing w:after="240" w:line="240" w:lineRule="auto"/>
        <w:rPr>
          <w:rFonts w:ascii="Times New Roman" w:eastAsia="Times New Roman" w:hAnsi="Times New Roman" w:cs="Times New Roman"/>
          <w:sz w:val="24"/>
          <w:szCs w:val="24"/>
        </w:rPr>
      </w:pPr>
    </w:p>
    <w:tbl>
      <w:tblPr>
        <w:tblStyle w:val="a"/>
        <w:tblW w:w="9360" w:type="dxa"/>
        <w:tblLayout w:type="fixed"/>
        <w:tblLook w:val="0400" w:firstRow="0" w:lastRow="0" w:firstColumn="0" w:lastColumn="0" w:noHBand="0" w:noVBand="1"/>
      </w:tblPr>
      <w:tblGrid>
        <w:gridCol w:w="1860"/>
        <w:gridCol w:w="735"/>
        <w:gridCol w:w="780"/>
        <w:gridCol w:w="765"/>
        <w:gridCol w:w="780"/>
        <w:gridCol w:w="765"/>
        <w:gridCol w:w="735"/>
        <w:gridCol w:w="735"/>
        <w:gridCol w:w="750"/>
        <w:gridCol w:w="735"/>
        <w:gridCol w:w="720"/>
      </w:tblGrid>
      <w:tr w:rsidR="00692C7C" w14:paraId="5C9AAE72" w14:textId="7777777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5"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SCHOOL YEAR</w:t>
            </w:r>
          </w:p>
          <w:p w14:paraId="00000006" w14:textId="77777777" w:rsidR="00692C7C" w:rsidRDefault="00692C7C">
            <w:pPr>
              <w:spacing w:line="240" w:lineRule="auto"/>
              <w:rPr>
                <w:rFonts w:ascii="Times New Roman" w:eastAsia="Times New Roman" w:hAnsi="Times New Roman" w:cs="Times New Roman"/>
                <w:sz w:val="24"/>
                <w:szCs w:val="24"/>
              </w:rPr>
            </w:pP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7"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20-21</w:t>
            </w:r>
          </w:p>
          <w:p w14:paraId="00000008" w14:textId="77777777" w:rsidR="00692C7C" w:rsidRDefault="00692C7C">
            <w:pPr>
              <w:spacing w:line="240" w:lineRule="auto"/>
              <w:rPr>
                <w:rFonts w:ascii="Times New Roman" w:eastAsia="Times New Roman" w:hAnsi="Times New Roman" w:cs="Times New Roman"/>
                <w:sz w:val="24"/>
                <w:szCs w:val="24"/>
              </w:rPr>
            </w:pP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19-20</w:t>
            </w:r>
          </w:p>
          <w:p w14:paraId="0000000A" w14:textId="77777777" w:rsidR="00692C7C" w:rsidRDefault="00692C7C">
            <w:pPr>
              <w:spacing w:line="240" w:lineRule="auto"/>
              <w:rPr>
                <w:rFonts w:ascii="Times New Roman" w:eastAsia="Times New Roman" w:hAnsi="Times New Roman" w:cs="Times New Roman"/>
                <w:sz w:val="24"/>
                <w:szCs w:val="24"/>
              </w:rPr>
            </w:pP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18-19</w:t>
            </w:r>
          </w:p>
          <w:p w14:paraId="0000000C" w14:textId="77777777" w:rsidR="00692C7C" w:rsidRDefault="00692C7C">
            <w:pPr>
              <w:spacing w:line="240" w:lineRule="auto"/>
              <w:rPr>
                <w:rFonts w:ascii="Times New Roman" w:eastAsia="Times New Roman" w:hAnsi="Times New Roman" w:cs="Times New Roman"/>
                <w:sz w:val="24"/>
                <w:szCs w:val="24"/>
              </w:rPr>
            </w:pP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17-18</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E"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16-17</w:t>
            </w:r>
          </w:p>
          <w:p w14:paraId="0000000F" w14:textId="77777777" w:rsidR="00692C7C" w:rsidRDefault="00692C7C">
            <w:pPr>
              <w:spacing w:line="240" w:lineRule="auto"/>
              <w:rPr>
                <w:rFonts w:ascii="Times New Roman" w:eastAsia="Times New Roman" w:hAnsi="Times New Roman" w:cs="Times New Roman"/>
                <w:sz w:val="24"/>
                <w:szCs w:val="24"/>
              </w:rPr>
            </w:pP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0" w14:textId="77777777" w:rsidR="00692C7C" w:rsidRDefault="001604DC">
            <w:pPr>
              <w:spacing w:line="240" w:lineRule="auto"/>
              <w:rPr>
                <w:rFonts w:ascii="Times New Roman" w:eastAsia="Times New Roman" w:hAnsi="Times New Roman" w:cs="Times New Roman"/>
              </w:rPr>
            </w:pPr>
            <w:r>
              <w:rPr>
                <w:rFonts w:ascii="Times New Roman" w:eastAsia="Times New Roman" w:hAnsi="Times New Roman" w:cs="Times New Roman"/>
              </w:rPr>
              <w:t>15-16</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1" w14:textId="77777777" w:rsidR="00692C7C" w:rsidRDefault="001604DC">
            <w:pPr>
              <w:spacing w:line="240" w:lineRule="auto"/>
              <w:rPr>
                <w:rFonts w:ascii="Times New Roman" w:eastAsia="Times New Roman" w:hAnsi="Times New Roman" w:cs="Times New Roman"/>
              </w:rPr>
            </w:pPr>
            <w:r>
              <w:rPr>
                <w:rFonts w:ascii="Times New Roman" w:eastAsia="Times New Roman" w:hAnsi="Times New Roman" w:cs="Times New Roman"/>
              </w:rPr>
              <w:t>14-15</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2" w14:textId="77777777" w:rsidR="00692C7C" w:rsidRDefault="001604DC">
            <w:pPr>
              <w:spacing w:line="240" w:lineRule="auto"/>
              <w:rPr>
                <w:rFonts w:ascii="Times New Roman" w:eastAsia="Times New Roman" w:hAnsi="Times New Roman" w:cs="Times New Roman"/>
              </w:rPr>
            </w:pPr>
            <w:r>
              <w:rPr>
                <w:rFonts w:ascii="Times New Roman" w:eastAsia="Times New Roman" w:hAnsi="Times New Roman" w:cs="Times New Roman"/>
              </w:rPr>
              <w:t>13-14</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3" w14:textId="77777777" w:rsidR="00692C7C" w:rsidRDefault="001604DC">
            <w:pPr>
              <w:spacing w:line="240" w:lineRule="auto"/>
              <w:rPr>
                <w:rFonts w:ascii="Times New Roman" w:eastAsia="Times New Roman" w:hAnsi="Times New Roman" w:cs="Times New Roman"/>
              </w:rPr>
            </w:pPr>
            <w:r>
              <w:rPr>
                <w:rFonts w:ascii="Times New Roman" w:eastAsia="Times New Roman" w:hAnsi="Times New Roman" w:cs="Times New Roman"/>
              </w:rPr>
              <w:t>12-13</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77777777" w:rsidR="00692C7C" w:rsidRDefault="001604DC">
            <w:pPr>
              <w:spacing w:line="240" w:lineRule="auto"/>
              <w:rPr>
                <w:rFonts w:ascii="Times New Roman" w:eastAsia="Times New Roman" w:hAnsi="Times New Roman" w:cs="Times New Roman"/>
              </w:rPr>
            </w:pPr>
            <w:r>
              <w:rPr>
                <w:rFonts w:ascii="Times New Roman" w:eastAsia="Times New Roman" w:hAnsi="Times New Roman" w:cs="Times New Roman"/>
              </w:rPr>
              <w:t>11-12</w:t>
            </w:r>
          </w:p>
        </w:tc>
      </w:tr>
      <w:tr w:rsidR="00692C7C" w14:paraId="352340C1" w14:textId="7777777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5" w14:textId="77777777" w:rsidR="00692C7C" w:rsidRDefault="001604D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rPr>
              <w:t>Percent of students Chronically absent for Chelsea Heights School </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6"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*5.01 </w:t>
            </w:r>
          </w:p>
          <w:p w14:paraId="00000017" w14:textId="77777777" w:rsidR="00692C7C" w:rsidRDefault="00692C7C">
            <w:pPr>
              <w:spacing w:line="240" w:lineRule="auto"/>
              <w:rPr>
                <w:rFonts w:ascii="Times New Roman" w:eastAsia="Times New Roman" w:hAnsi="Times New Roman" w:cs="Times New Roman"/>
                <w:sz w:val="24"/>
                <w:szCs w:val="24"/>
              </w:rPr>
            </w:pPr>
          </w:p>
          <w:p w14:paraId="00000018"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...as of </w:t>
            </w:r>
            <w:r>
              <w:rPr>
                <w:rFonts w:ascii="Times New Roman" w:eastAsia="Times New Roman" w:hAnsi="Times New Roman" w:cs="Times New Roman"/>
                <w:sz w:val="18"/>
                <w:szCs w:val="18"/>
              </w:rPr>
              <w:t>5/3/2021</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9"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p w14:paraId="0000001A" w14:textId="77777777" w:rsidR="00692C7C" w:rsidRDefault="00692C7C">
            <w:pPr>
              <w:spacing w:line="240" w:lineRule="auto"/>
              <w:rPr>
                <w:rFonts w:ascii="Times New Roman" w:eastAsia="Times New Roman" w:hAnsi="Times New Roman" w:cs="Times New Roman"/>
                <w:sz w:val="24"/>
                <w:szCs w:val="24"/>
              </w:rPr>
            </w:pPr>
          </w:p>
          <w:p w14:paraId="0000001B"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2.3%</w:t>
            </w:r>
          </w:p>
          <w:p w14:paraId="0000001C"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D"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5.1</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10.4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F"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9.4</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0"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9.7</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7.25</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5.0</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6.0</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6.0</w:t>
            </w:r>
          </w:p>
        </w:tc>
      </w:tr>
      <w:tr w:rsidR="00692C7C" w14:paraId="2477F0D3" w14:textId="7777777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District Average</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6"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p w14:paraId="00000028"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23.4</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21.4</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21.7</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77777777" w:rsidR="00692C7C" w:rsidRDefault="00692C7C">
            <w:pPr>
              <w:spacing w:line="240" w:lineRule="auto"/>
              <w:rPr>
                <w:rFonts w:ascii="Times New Roman" w:eastAsia="Times New Roman" w:hAnsi="Times New Roman" w:cs="Times New Roman"/>
                <w:sz w:val="24"/>
                <w:szCs w:val="24"/>
              </w:rPr>
            </w:pP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692C7C" w:rsidRDefault="00692C7C">
            <w:pPr>
              <w:spacing w:line="240" w:lineRule="auto"/>
              <w:rPr>
                <w:rFonts w:ascii="Times New Roman" w:eastAsia="Times New Roman" w:hAnsi="Times New Roman" w:cs="Times New Roman"/>
                <w:sz w:val="24"/>
                <w:szCs w:val="24"/>
              </w:rPr>
            </w:pP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E" w14:textId="77777777" w:rsidR="00692C7C" w:rsidRDefault="00692C7C">
            <w:pPr>
              <w:spacing w:line="240" w:lineRule="auto"/>
              <w:rPr>
                <w:rFonts w:ascii="Times New Roman" w:eastAsia="Times New Roman" w:hAnsi="Times New Roman" w:cs="Times New Roman"/>
                <w:sz w:val="24"/>
                <w:szCs w:val="24"/>
              </w:rPr>
            </w:pP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692C7C" w:rsidRDefault="00692C7C">
            <w:pPr>
              <w:spacing w:line="240" w:lineRule="auto"/>
              <w:rPr>
                <w:rFonts w:ascii="Times New Roman" w:eastAsia="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692C7C" w:rsidRDefault="00692C7C">
            <w:pPr>
              <w:spacing w:line="240" w:lineRule="auto"/>
              <w:rPr>
                <w:rFonts w:ascii="Times New Roman" w:eastAsia="Times New Roman" w:hAnsi="Times New Roman" w:cs="Times New Roman"/>
                <w:sz w:val="24"/>
                <w:szCs w:val="24"/>
              </w:rPr>
            </w:pPr>
          </w:p>
        </w:tc>
      </w:tr>
      <w:tr w:rsidR="00692C7C" w14:paraId="285E97C9" w14:textId="7777777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1"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State Average</w:t>
            </w:r>
          </w:p>
          <w:p w14:paraId="00000032" w14:textId="77777777" w:rsidR="00692C7C" w:rsidRDefault="00692C7C">
            <w:pPr>
              <w:spacing w:line="240" w:lineRule="auto"/>
              <w:rPr>
                <w:rFonts w:ascii="Times New Roman" w:eastAsia="Times New Roman" w:hAnsi="Times New Roman" w:cs="Times New Roman"/>
                <w:sz w:val="24"/>
                <w:szCs w:val="24"/>
              </w:rPr>
            </w:pP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4"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5"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9.0</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9.1</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p w14:paraId="0000003A"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10</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77777777" w:rsidR="00692C7C" w:rsidRDefault="00692C7C">
            <w:pPr>
              <w:spacing w:line="240" w:lineRule="auto"/>
              <w:rPr>
                <w:rFonts w:ascii="Times New Roman" w:eastAsia="Times New Roman" w:hAnsi="Times New Roman" w:cs="Times New Roman"/>
                <w:sz w:val="24"/>
                <w:szCs w:val="24"/>
              </w:rPr>
            </w:pP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692C7C" w:rsidRDefault="00692C7C">
            <w:pPr>
              <w:spacing w:line="240" w:lineRule="auto"/>
              <w:rPr>
                <w:rFonts w:ascii="Times New Roman" w:eastAsia="Times New Roman" w:hAnsi="Times New Roman" w:cs="Times New Roman"/>
                <w:sz w:val="24"/>
                <w:szCs w:val="24"/>
              </w:rPr>
            </w:pP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692C7C" w:rsidRDefault="00692C7C">
            <w:pPr>
              <w:spacing w:line="240" w:lineRule="auto"/>
              <w:rPr>
                <w:rFonts w:ascii="Times New Roman" w:eastAsia="Times New Roman" w:hAnsi="Times New Roman" w:cs="Times New Roman"/>
                <w:sz w:val="24"/>
                <w:szCs w:val="24"/>
              </w:rPr>
            </w:pPr>
          </w:p>
        </w:tc>
      </w:tr>
      <w:tr w:rsidR="00692C7C" w14:paraId="4FF1B849" w14:textId="7777777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Peer School </w:t>
            </w:r>
          </w:p>
          <w:p w14:paraId="0000003F"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Percentile</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0"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3"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p w14:paraId="00000046" w14:textId="77777777" w:rsidR="00692C7C" w:rsidRDefault="00692C7C">
            <w:pPr>
              <w:spacing w:after="240" w:line="240" w:lineRule="auto"/>
              <w:rPr>
                <w:rFonts w:ascii="Times New Roman" w:eastAsia="Times New Roman" w:hAnsi="Times New Roman" w:cs="Times New Roman"/>
                <w:sz w:val="24"/>
                <w:szCs w:val="24"/>
              </w:rPr>
            </w:pP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8"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71</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9"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100</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A"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90</w:t>
            </w:r>
          </w:p>
        </w:tc>
      </w:tr>
      <w:tr w:rsidR="00692C7C" w14:paraId="0737A030" w14:textId="77777777">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B"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Statewide percentile</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C"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D"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F"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N/A</w:t>
            </w:r>
          </w:p>
        </w:tc>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0"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1"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w:t>
            </w:r>
          </w:p>
        </w:tc>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68</w:t>
            </w:r>
          </w:p>
        </w:tc>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4"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67</w:t>
            </w:r>
          </w:p>
        </w:tc>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62</w:t>
            </w:r>
          </w:p>
        </w:tc>
      </w:tr>
    </w:tbl>
    <w:p w14:paraId="00000056" w14:textId="77777777" w:rsidR="00692C7C" w:rsidRDefault="00692C7C">
      <w:pPr>
        <w:spacing w:line="240" w:lineRule="auto"/>
        <w:rPr>
          <w:rFonts w:ascii="Times New Roman" w:eastAsia="Times New Roman" w:hAnsi="Times New Roman" w:cs="Times New Roman"/>
          <w:sz w:val="24"/>
          <w:szCs w:val="24"/>
        </w:rPr>
      </w:pPr>
    </w:p>
    <w:p w14:paraId="00000057"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From PowerSchool</w:t>
      </w:r>
    </w:p>
    <w:p w14:paraId="00000058"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No state data </w:t>
      </w:r>
    </w:p>
    <w:p w14:paraId="00000059"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Advocates for Children of New Jersey September 2016</w:t>
      </w:r>
    </w:p>
    <w:p w14:paraId="0000005A"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color w:val="201F1E"/>
          <w:sz w:val="16"/>
          <w:szCs w:val="16"/>
        </w:rPr>
        <w:t xml:space="preserve">Above numbers were calculated following guidance in the Chronic Absenteeism Guidance </w:t>
      </w:r>
      <w:r>
        <w:rPr>
          <w:rFonts w:ascii="Times New Roman" w:eastAsia="Times New Roman" w:hAnsi="Times New Roman" w:cs="Times New Roman"/>
          <w:i/>
          <w:color w:val="201F1E"/>
          <w:sz w:val="16"/>
          <w:szCs w:val="16"/>
        </w:rPr>
        <w:t>v3 May 2019</w:t>
      </w:r>
      <w:r>
        <w:rPr>
          <w:rFonts w:ascii="Times New Roman" w:eastAsia="Times New Roman" w:hAnsi="Times New Roman" w:cs="Times New Roman"/>
          <w:color w:val="201F1E"/>
          <w:sz w:val="16"/>
          <w:szCs w:val="16"/>
        </w:rPr>
        <w:t xml:space="preserve"> and the </w:t>
      </w:r>
      <w:hyperlink r:id="rId4">
        <w:r>
          <w:rPr>
            <w:rFonts w:ascii="Times New Roman" w:eastAsia="Times New Roman" w:hAnsi="Times New Roman" w:cs="Times New Roman"/>
            <w:color w:val="0563C1"/>
            <w:sz w:val="16"/>
            <w:szCs w:val="16"/>
            <w:u w:val="single"/>
          </w:rPr>
          <w:t>NJ School Performance Report Reference Guide 2019-2020</w:t>
        </w:r>
      </w:hyperlink>
      <w:r>
        <w:rPr>
          <w:rFonts w:ascii="Times New Roman" w:eastAsia="Times New Roman" w:hAnsi="Times New Roman" w:cs="Times New Roman"/>
          <w:color w:val="201F1E"/>
          <w:sz w:val="16"/>
          <w:szCs w:val="16"/>
        </w:rPr>
        <w:t xml:space="preserve">.  Snap shot of  NJSMART. NJSMART exports only active students, not inactive.  The information contained in the table above </w:t>
      </w:r>
      <w:r>
        <w:rPr>
          <w:rFonts w:ascii="Times New Roman" w:eastAsia="Times New Roman" w:hAnsi="Times New Roman" w:cs="Times New Roman"/>
          <w:color w:val="201F1E"/>
          <w:sz w:val="16"/>
          <w:szCs w:val="16"/>
        </w:rPr>
        <w:t>was extracted from that file</w:t>
      </w:r>
      <w:r>
        <w:rPr>
          <w:rFonts w:ascii="Times New Roman" w:eastAsia="Times New Roman" w:hAnsi="Times New Roman" w:cs="Times New Roman"/>
        </w:rPr>
        <w:t>.</w:t>
      </w:r>
    </w:p>
    <w:p w14:paraId="0000005B" w14:textId="77777777" w:rsidR="00692C7C" w:rsidRDefault="00692C7C">
      <w:pPr>
        <w:spacing w:line="240" w:lineRule="auto"/>
        <w:rPr>
          <w:rFonts w:ascii="Times New Roman" w:eastAsia="Times New Roman" w:hAnsi="Times New Roman" w:cs="Times New Roman"/>
          <w:sz w:val="24"/>
          <w:szCs w:val="24"/>
        </w:rPr>
      </w:pPr>
    </w:p>
    <w:p w14:paraId="0000005C"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Due to the COVID-19 pandemic, the New Jersey Department of Education (NJDOE) received a federal waiver which removed the requirement to report on chronic absenteeism and related accountability measures for the 2019-20 s</w:t>
      </w:r>
      <w:r>
        <w:rPr>
          <w:rFonts w:ascii="Times New Roman" w:eastAsia="Times New Roman" w:hAnsi="Times New Roman" w:cs="Times New Roman"/>
        </w:rPr>
        <w:t>chool year. As a result, NJDOE will not report on chronic absenteeism and other attendance data for 2019 -20.</w:t>
      </w:r>
    </w:p>
    <w:p w14:paraId="0000005D" w14:textId="77777777" w:rsidR="00692C7C" w:rsidRDefault="00692C7C">
      <w:pPr>
        <w:spacing w:line="240" w:lineRule="auto"/>
        <w:rPr>
          <w:rFonts w:ascii="Times New Roman" w:eastAsia="Times New Roman" w:hAnsi="Times New Roman" w:cs="Times New Roman"/>
          <w:sz w:val="24"/>
          <w:szCs w:val="24"/>
        </w:rPr>
      </w:pPr>
    </w:p>
    <w:p w14:paraId="77BB9405" w14:textId="77777777" w:rsidR="001604DC" w:rsidRDefault="001604DC" w:rsidP="001604DC">
      <w:pPr>
        <w:spacing w:line="240"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1155CC"/>
            <w:u w:val="single"/>
          </w:rPr>
          <w:t>https://www.nj.gov/education/students/safety/behavior/attend</w:t>
        </w:r>
        <w:r>
          <w:rPr>
            <w:rFonts w:ascii="Times New Roman" w:eastAsia="Times New Roman" w:hAnsi="Times New Roman" w:cs="Times New Roman"/>
            <w:color w:val="1155CC"/>
            <w:u w:val="single"/>
          </w:rPr>
          <w:t>ance/</w:t>
        </w:r>
      </w:hyperlink>
    </w:p>
    <w:p w14:paraId="00000060" w14:textId="7CB2F059" w:rsidR="00692C7C" w:rsidRDefault="001604DC" w:rsidP="001604D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Chronic absenteeism is a national issue that has a direct impact on student learning and achievement. Based on the New Jersey School Performance Report and research throughout the state, the New Jersey Department of Education has selected chronic a</w:t>
      </w:r>
      <w:r>
        <w:rPr>
          <w:rFonts w:ascii="Times New Roman" w:eastAsia="Times New Roman" w:hAnsi="Times New Roman" w:cs="Times New Roman"/>
          <w:sz w:val="24"/>
          <w:szCs w:val="24"/>
        </w:rPr>
        <w:t xml:space="preserve">bsenteeism as a measure of school quality and student success for the Every Student Succeeds Act (ESSA) accountability plan. Evidence has shown that when a student becomes chronically absent, it is harder for them to achieve academic success. Two absences </w:t>
      </w:r>
      <w:r>
        <w:rPr>
          <w:rFonts w:ascii="Times New Roman" w:eastAsia="Times New Roman" w:hAnsi="Times New Roman" w:cs="Times New Roman"/>
          <w:sz w:val="24"/>
          <w:szCs w:val="24"/>
        </w:rPr>
        <w:t xml:space="preserve">per month are enough to jeopardize student achievement. Therefore, the Chelsea Heights School has formed a teacher-led collaborative team/advisory committee comprised of teachers who have worked collaboratively to combat chronic absenteeism. </w:t>
      </w:r>
    </w:p>
    <w:p w14:paraId="00000061" w14:textId="77777777" w:rsidR="00692C7C" w:rsidRDefault="001604DC">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Thus far, fro</w:t>
      </w:r>
      <w:r>
        <w:rPr>
          <w:rFonts w:ascii="Times New Roman" w:eastAsia="Times New Roman" w:hAnsi="Times New Roman" w:cs="Times New Roman"/>
          <w:sz w:val="24"/>
          <w:szCs w:val="24"/>
        </w:rPr>
        <w:t>m 2014 to 2021, our committee has obtained excellent results by keeping the rate of chronic absenteeism for our students below the state average rate, with the exception of the 2017-2018 school year.  The one year that Chelsea Heights was above the state a</w:t>
      </w:r>
      <w:r>
        <w:rPr>
          <w:rFonts w:ascii="Times New Roman" w:eastAsia="Times New Roman" w:hAnsi="Times New Roman" w:cs="Times New Roman"/>
          <w:sz w:val="24"/>
          <w:szCs w:val="24"/>
        </w:rPr>
        <w:t>verage, it was by a mere 1%. Additionally, 73% of the Chelsea Heights School population is derived from low-income families. The chart below shows how well Chelsea Heights has performed this school year, compared to other schools in the Atlantic City Schoo</w:t>
      </w:r>
      <w:r>
        <w:rPr>
          <w:rFonts w:ascii="Times New Roman" w:eastAsia="Times New Roman" w:hAnsi="Times New Roman" w:cs="Times New Roman"/>
          <w:sz w:val="24"/>
          <w:szCs w:val="24"/>
        </w:rPr>
        <w:t>l District, which have a cumulative chronic absenteeism rate of 20%.</w:t>
      </w:r>
    </w:p>
    <w:p w14:paraId="00000062" w14:textId="77777777" w:rsidR="00692C7C" w:rsidRDefault="001604D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16"/>
          <w:szCs w:val="16"/>
        </w:rPr>
        <w:t>The below table EXCLUDES any student with less than 45 days in membership, as well as Pre-K.</w:t>
      </w:r>
    </w:p>
    <w:tbl>
      <w:tblPr>
        <w:tblStyle w:val="a0"/>
        <w:tblW w:w="9348" w:type="dxa"/>
        <w:tblLayout w:type="fixed"/>
        <w:tblLook w:val="0400" w:firstRow="0" w:lastRow="0" w:firstColumn="0" w:lastColumn="0" w:noHBand="0" w:noVBand="1"/>
      </w:tblPr>
      <w:tblGrid>
        <w:gridCol w:w="1338"/>
        <w:gridCol w:w="1815"/>
        <w:gridCol w:w="1770"/>
        <w:gridCol w:w="990"/>
        <w:gridCol w:w="3435"/>
      </w:tblGrid>
      <w:tr w:rsidR="00692C7C" w14:paraId="7C0918D7" w14:textId="77777777">
        <w:trPr>
          <w:trHeight w:val="555"/>
        </w:trPr>
        <w:tc>
          <w:tcPr>
            <w:tcW w:w="9348" w:type="dxa"/>
            <w:gridSpan w:val="5"/>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tcPr>
          <w:p w14:paraId="00000063"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CHELSEA HEIGHTS SCHOOL</w:t>
            </w:r>
          </w:p>
        </w:tc>
      </w:tr>
      <w:tr w:rsidR="00692C7C" w14:paraId="040AF448" w14:textId="77777777">
        <w:trPr>
          <w:trHeight w:val="1835"/>
        </w:trPr>
        <w:tc>
          <w:tcPr>
            <w:tcW w:w="1338"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tcPr>
          <w:p w14:paraId="00000068"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Grade Levels</w:t>
            </w:r>
          </w:p>
          <w:p w14:paraId="00000069"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 xml:space="preserve"> (K-8)</w:t>
            </w:r>
          </w:p>
        </w:tc>
        <w:tc>
          <w:tcPr>
            <w:tcW w:w="1815"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tcPr>
          <w:p w14:paraId="0000006A"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 xml:space="preserve"> Total of Number Students Not Chronically  Absent </w:t>
            </w:r>
          </w:p>
        </w:tc>
        <w:tc>
          <w:tcPr>
            <w:tcW w:w="1770"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tcPr>
          <w:p w14:paraId="0000006B"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 xml:space="preserve">Total of Number Students  Chronically  Absent </w:t>
            </w:r>
          </w:p>
          <w:p w14:paraId="0000006C" w14:textId="77777777" w:rsidR="00692C7C" w:rsidRDefault="00692C7C">
            <w:pPr>
              <w:spacing w:before="240" w:line="240" w:lineRule="auto"/>
              <w:jc w:val="center"/>
              <w:rPr>
                <w:rFonts w:ascii="Times New Roman" w:eastAsia="Times New Roman" w:hAnsi="Times New Roman" w:cs="Times New Roman"/>
                <w:b/>
                <w:color w:val="201F1E"/>
                <w:sz w:val="20"/>
                <w:szCs w:val="20"/>
              </w:rPr>
            </w:pPr>
          </w:p>
        </w:tc>
        <w:tc>
          <w:tcPr>
            <w:tcW w:w="990"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tcPr>
          <w:p w14:paraId="0000006D"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Grand Total</w:t>
            </w:r>
          </w:p>
        </w:tc>
        <w:tc>
          <w:tcPr>
            <w:tcW w:w="3435" w:type="dxa"/>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tcPr>
          <w:p w14:paraId="0000006E" w14:textId="77777777" w:rsidR="00692C7C" w:rsidRDefault="001604DC">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201F1E"/>
                <w:sz w:val="20"/>
                <w:szCs w:val="20"/>
              </w:rPr>
              <w:t>School-Level Chronic Absenteeism Rate (Excluding Students &lt;45 Days in District)</w:t>
            </w:r>
          </w:p>
        </w:tc>
      </w:tr>
      <w:tr w:rsidR="00692C7C" w14:paraId="334A3185" w14:textId="77777777">
        <w:trPr>
          <w:trHeight w:val="500"/>
        </w:trPr>
        <w:tc>
          <w:tcPr>
            <w:tcW w:w="1338"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6F" w14:textId="77777777" w:rsidR="00692C7C" w:rsidRDefault="001604DC">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Grand Total</w:t>
            </w:r>
          </w:p>
        </w:tc>
        <w:tc>
          <w:tcPr>
            <w:tcW w:w="18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70"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340</w:t>
            </w:r>
          </w:p>
        </w:tc>
        <w:tc>
          <w:tcPr>
            <w:tcW w:w="177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71"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8</w:t>
            </w:r>
          </w:p>
        </w:tc>
        <w:tc>
          <w:tcPr>
            <w:tcW w:w="99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72"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348</w:t>
            </w:r>
          </w:p>
        </w:tc>
        <w:tc>
          <w:tcPr>
            <w:tcW w:w="343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73"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2.3%</w:t>
            </w:r>
          </w:p>
        </w:tc>
      </w:tr>
      <w:tr w:rsidR="00692C7C" w14:paraId="405A7A1B" w14:textId="77777777">
        <w:trPr>
          <w:trHeight w:val="500"/>
        </w:trPr>
        <w:tc>
          <w:tcPr>
            <w:tcW w:w="9348" w:type="dxa"/>
            <w:gridSpan w:val="5"/>
            <w:tcBorders>
              <w:top w:val="single" w:sz="18" w:space="0" w:color="000000"/>
              <w:left w:val="single" w:sz="18" w:space="0" w:color="000000"/>
              <w:bottom w:val="single" w:sz="8" w:space="0" w:color="000000"/>
              <w:right w:val="single" w:sz="18" w:space="0" w:color="000000"/>
            </w:tcBorders>
            <w:shd w:val="clear" w:color="auto" w:fill="5B9BD5"/>
            <w:tcMar>
              <w:top w:w="100" w:type="dxa"/>
              <w:left w:w="100" w:type="dxa"/>
              <w:bottom w:w="100" w:type="dxa"/>
              <w:right w:w="100" w:type="dxa"/>
            </w:tcMar>
          </w:tcPr>
          <w:p w14:paraId="00000074"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DISTRICT</w:t>
            </w:r>
          </w:p>
        </w:tc>
      </w:tr>
      <w:tr w:rsidR="00692C7C" w14:paraId="6A0B3FE3" w14:textId="77777777">
        <w:trPr>
          <w:trHeight w:val="1494"/>
        </w:trPr>
        <w:tc>
          <w:tcPr>
            <w:tcW w:w="1338" w:type="dxa"/>
            <w:tcBorders>
              <w:top w:val="single" w:sz="8" w:space="0" w:color="000000"/>
              <w:left w:val="single" w:sz="18" w:space="0" w:color="000000"/>
              <w:bottom w:val="single" w:sz="18" w:space="0" w:color="000000"/>
              <w:right w:val="single" w:sz="8" w:space="0" w:color="000000"/>
            </w:tcBorders>
            <w:shd w:val="clear" w:color="auto" w:fill="6FA8DC"/>
            <w:tcMar>
              <w:top w:w="100" w:type="dxa"/>
              <w:left w:w="100" w:type="dxa"/>
              <w:bottom w:w="100" w:type="dxa"/>
              <w:right w:w="100" w:type="dxa"/>
            </w:tcMar>
          </w:tcPr>
          <w:p w14:paraId="00000079"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Grade Levels</w:t>
            </w:r>
          </w:p>
          <w:p w14:paraId="0000007A"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 xml:space="preserve"> (K-12</w:t>
            </w:r>
          </w:p>
        </w:tc>
        <w:tc>
          <w:tcPr>
            <w:tcW w:w="1815" w:type="dxa"/>
            <w:tcBorders>
              <w:top w:val="single" w:sz="8" w:space="0" w:color="000000"/>
              <w:left w:val="single" w:sz="8" w:space="0" w:color="000000"/>
              <w:bottom w:val="single" w:sz="18" w:space="0" w:color="000000"/>
              <w:right w:val="single" w:sz="8" w:space="0" w:color="000000"/>
            </w:tcBorders>
            <w:shd w:val="clear" w:color="auto" w:fill="6FA8DC"/>
            <w:tcMar>
              <w:top w:w="100" w:type="dxa"/>
              <w:left w:w="100" w:type="dxa"/>
              <w:bottom w:w="100" w:type="dxa"/>
              <w:right w:w="100" w:type="dxa"/>
            </w:tcMar>
          </w:tcPr>
          <w:p w14:paraId="0000007B"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 xml:space="preserve">Total of Number Students Not Chronically  Absent </w:t>
            </w:r>
          </w:p>
        </w:tc>
        <w:tc>
          <w:tcPr>
            <w:tcW w:w="1770" w:type="dxa"/>
            <w:tcBorders>
              <w:top w:val="single" w:sz="8" w:space="0" w:color="000000"/>
              <w:left w:val="single" w:sz="8" w:space="0" w:color="000000"/>
              <w:bottom w:val="single" w:sz="18" w:space="0" w:color="000000"/>
              <w:right w:val="single" w:sz="8" w:space="0" w:color="000000"/>
            </w:tcBorders>
            <w:shd w:val="clear" w:color="auto" w:fill="6FA8DC"/>
            <w:tcMar>
              <w:top w:w="100" w:type="dxa"/>
              <w:left w:w="100" w:type="dxa"/>
              <w:bottom w:w="100" w:type="dxa"/>
              <w:right w:w="100" w:type="dxa"/>
            </w:tcMar>
          </w:tcPr>
          <w:p w14:paraId="0000007C"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 xml:space="preserve">Total of Number Students  Chronically  Absent </w:t>
            </w:r>
          </w:p>
          <w:p w14:paraId="0000007D" w14:textId="77777777" w:rsidR="00692C7C" w:rsidRDefault="00692C7C">
            <w:pPr>
              <w:spacing w:before="240" w:line="240" w:lineRule="auto"/>
              <w:jc w:val="center"/>
              <w:rPr>
                <w:rFonts w:ascii="Times New Roman" w:eastAsia="Times New Roman" w:hAnsi="Times New Roman" w:cs="Times New Roman"/>
                <w:b/>
                <w:color w:val="201F1E"/>
                <w:sz w:val="20"/>
                <w:szCs w:val="20"/>
              </w:rPr>
            </w:pPr>
          </w:p>
        </w:tc>
        <w:tc>
          <w:tcPr>
            <w:tcW w:w="990" w:type="dxa"/>
            <w:tcBorders>
              <w:top w:val="single" w:sz="8" w:space="0" w:color="000000"/>
              <w:left w:val="single" w:sz="8" w:space="0" w:color="000000"/>
              <w:bottom w:val="single" w:sz="18" w:space="0" w:color="000000"/>
              <w:right w:val="single" w:sz="8" w:space="0" w:color="000000"/>
            </w:tcBorders>
            <w:shd w:val="clear" w:color="auto" w:fill="6FA8DC"/>
            <w:tcMar>
              <w:top w:w="100" w:type="dxa"/>
              <w:left w:w="100" w:type="dxa"/>
              <w:bottom w:w="100" w:type="dxa"/>
              <w:right w:w="100" w:type="dxa"/>
            </w:tcMar>
          </w:tcPr>
          <w:p w14:paraId="0000007E"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Grand Total</w:t>
            </w:r>
          </w:p>
        </w:tc>
        <w:tc>
          <w:tcPr>
            <w:tcW w:w="3435" w:type="dxa"/>
            <w:tcBorders>
              <w:top w:val="single" w:sz="8" w:space="0" w:color="000000"/>
              <w:left w:val="single" w:sz="8" w:space="0" w:color="000000"/>
              <w:bottom w:val="single" w:sz="18" w:space="0" w:color="000000"/>
              <w:right w:val="single" w:sz="18" w:space="0" w:color="000000"/>
            </w:tcBorders>
            <w:shd w:val="clear" w:color="auto" w:fill="6FA8DC"/>
            <w:tcMar>
              <w:top w:w="100" w:type="dxa"/>
              <w:left w:w="100" w:type="dxa"/>
              <w:bottom w:w="100" w:type="dxa"/>
              <w:right w:w="100" w:type="dxa"/>
            </w:tcMar>
          </w:tcPr>
          <w:p w14:paraId="0000007F" w14:textId="77777777" w:rsidR="00692C7C" w:rsidRDefault="001604DC">
            <w:pPr>
              <w:spacing w:before="240" w:line="240" w:lineRule="auto"/>
              <w:jc w:val="center"/>
              <w:rPr>
                <w:rFonts w:ascii="Times New Roman" w:eastAsia="Times New Roman" w:hAnsi="Times New Roman" w:cs="Times New Roman"/>
                <w:b/>
                <w:color w:val="201F1E"/>
                <w:sz w:val="20"/>
                <w:szCs w:val="20"/>
              </w:rPr>
            </w:pPr>
            <w:r>
              <w:rPr>
                <w:rFonts w:ascii="Times New Roman" w:eastAsia="Times New Roman" w:hAnsi="Times New Roman" w:cs="Times New Roman"/>
                <w:b/>
                <w:color w:val="201F1E"/>
                <w:sz w:val="20"/>
                <w:szCs w:val="20"/>
              </w:rPr>
              <w:t>School-Level Chronic Absenteeism Rate (Excluding Students &lt;45 Days in District)</w:t>
            </w:r>
          </w:p>
        </w:tc>
      </w:tr>
      <w:tr w:rsidR="00692C7C" w14:paraId="4C9EDEC0" w14:textId="77777777">
        <w:trPr>
          <w:trHeight w:val="500"/>
        </w:trPr>
        <w:tc>
          <w:tcPr>
            <w:tcW w:w="1338" w:type="dxa"/>
            <w:tcBorders>
              <w:top w:val="single" w:sz="8" w:space="0" w:color="000000"/>
              <w:left w:val="single" w:sz="18" w:space="0" w:color="000000"/>
              <w:bottom w:val="single" w:sz="18" w:space="0" w:color="000000"/>
              <w:right w:val="single" w:sz="8" w:space="0" w:color="000000"/>
            </w:tcBorders>
            <w:tcMar>
              <w:top w:w="100" w:type="dxa"/>
              <w:left w:w="100" w:type="dxa"/>
              <w:bottom w:w="100" w:type="dxa"/>
              <w:right w:w="100" w:type="dxa"/>
            </w:tcMar>
          </w:tcPr>
          <w:p w14:paraId="00000080" w14:textId="77777777" w:rsidR="00692C7C" w:rsidRDefault="001604DC">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Grand Total</w:t>
            </w:r>
          </w:p>
        </w:tc>
        <w:tc>
          <w:tcPr>
            <w:tcW w:w="1815"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81"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5105</w:t>
            </w:r>
          </w:p>
        </w:tc>
        <w:tc>
          <w:tcPr>
            <w:tcW w:w="177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82"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1276</w:t>
            </w:r>
          </w:p>
        </w:tc>
        <w:tc>
          <w:tcPr>
            <w:tcW w:w="990" w:type="dxa"/>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00000083"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6381</w:t>
            </w:r>
          </w:p>
        </w:tc>
        <w:tc>
          <w:tcPr>
            <w:tcW w:w="3435" w:type="dxa"/>
            <w:tcBorders>
              <w:top w:val="single" w:sz="8" w:space="0" w:color="000000"/>
              <w:left w:val="single" w:sz="8" w:space="0" w:color="000000"/>
              <w:bottom w:val="single" w:sz="18" w:space="0" w:color="000000"/>
              <w:right w:val="single" w:sz="18" w:space="0" w:color="000000"/>
            </w:tcBorders>
            <w:tcMar>
              <w:top w:w="100" w:type="dxa"/>
              <w:left w:w="100" w:type="dxa"/>
              <w:bottom w:w="100" w:type="dxa"/>
              <w:right w:w="100" w:type="dxa"/>
            </w:tcMar>
          </w:tcPr>
          <w:p w14:paraId="00000084" w14:textId="77777777" w:rsidR="00692C7C" w:rsidRDefault="001604DC">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01F1E"/>
                <w:sz w:val="20"/>
                <w:szCs w:val="20"/>
              </w:rPr>
              <w:t>20.0%</w:t>
            </w:r>
          </w:p>
        </w:tc>
      </w:tr>
    </w:tbl>
    <w:p w14:paraId="00000086" w14:textId="6120A7B4" w:rsidR="00692C7C" w:rsidRDefault="001604DC" w:rsidP="001604DC">
      <w:pPr>
        <w:shd w:val="clear" w:color="auto" w:fill="FFFFFF"/>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16"/>
          <w:szCs w:val="16"/>
        </w:rPr>
        <w:lastRenderedPageBreak/>
        <w:t xml:space="preserve">Above numbers were calculated following guidance in the Chronic Absenteeism Guidance </w:t>
      </w:r>
      <w:r>
        <w:rPr>
          <w:rFonts w:ascii="Times New Roman" w:eastAsia="Times New Roman" w:hAnsi="Times New Roman" w:cs="Times New Roman"/>
          <w:i/>
          <w:color w:val="201F1E"/>
          <w:sz w:val="16"/>
          <w:szCs w:val="16"/>
        </w:rPr>
        <w:t>v3 May 2019</w:t>
      </w:r>
      <w:r>
        <w:rPr>
          <w:rFonts w:ascii="Times New Roman" w:eastAsia="Times New Roman" w:hAnsi="Times New Roman" w:cs="Times New Roman"/>
          <w:color w:val="201F1E"/>
          <w:sz w:val="16"/>
          <w:szCs w:val="16"/>
        </w:rPr>
        <w:t xml:space="preserve"> and the </w:t>
      </w:r>
      <w:hyperlink r:id="rId6">
        <w:r>
          <w:rPr>
            <w:rFonts w:ascii="Times New Roman" w:eastAsia="Times New Roman" w:hAnsi="Times New Roman" w:cs="Times New Roman"/>
            <w:color w:val="0563C1"/>
            <w:sz w:val="16"/>
            <w:szCs w:val="16"/>
            <w:u w:val="single"/>
          </w:rPr>
          <w:t>NJ School Performance Report Reference Guide 2019-2020</w:t>
        </w:r>
      </w:hyperlink>
      <w:r>
        <w:rPr>
          <w:rFonts w:ascii="Times New Roman" w:eastAsia="Times New Roman" w:hAnsi="Times New Roman" w:cs="Times New Roman"/>
          <w:color w:val="201F1E"/>
          <w:sz w:val="16"/>
          <w:szCs w:val="16"/>
        </w:rPr>
        <w:t xml:space="preserve">.  Snap shot of  NJSMART. NJSMART exports only active students, not inactive.  The information contained in the table above </w:t>
      </w:r>
      <w:r>
        <w:rPr>
          <w:rFonts w:ascii="Times New Roman" w:eastAsia="Times New Roman" w:hAnsi="Times New Roman" w:cs="Times New Roman"/>
          <w:color w:val="201F1E"/>
          <w:sz w:val="16"/>
          <w:szCs w:val="16"/>
        </w:rPr>
        <w:t>was extracted from that file</w:t>
      </w:r>
      <w:r>
        <w:rPr>
          <w:rFonts w:ascii="Times New Roman" w:eastAsia="Times New Roman" w:hAnsi="Times New Roman" w:cs="Times New Roman"/>
        </w:rPr>
        <w:t>.</w:t>
      </w:r>
    </w:p>
    <w:p w14:paraId="00000087" w14:textId="77777777" w:rsidR="00692C7C" w:rsidRDefault="00692C7C">
      <w:pPr>
        <w:spacing w:line="240" w:lineRule="auto"/>
        <w:rPr>
          <w:rFonts w:ascii="Times New Roman" w:eastAsia="Times New Roman" w:hAnsi="Times New Roman" w:cs="Times New Roman"/>
          <w:sz w:val="24"/>
          <w:szCs w:val="24"/>
        </w:rPr>
      </w:pPr>
    </w:p>
    <w:p w14:paraId="00000088" w14:textId="77777777" w:rsidR="00692C7C" w:rsidRDefault="001604D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teacher-led collaborative team on Chronic Absenteeism has implemented ideas and strategies to engage staff members, students, their families, and even the community to improve student attendance. The committee developed a</w:t>
      </w:r>
      <w:r>
        <w:rPr>
          <w:rFonts w:ascii="Times New Roman" w:eastAsia="Times New Roman" w:hAnsi="Times New Roman" w:cs="Times New Roman"/>
          <w:sz w:val="24"/>
          <w:szCs w:val="24"/>
        </w:rPr>
        <w:t xml:space="preserve"> multi-faceted approach to keep the rate of chronic absenteeism below the state average. </w:t>
      </w:r>
    </w:p>
    <w:p w14:paraId="00000089" w14:textId="77777777" w:rsidR="00692C7C" w:rsidRDefault="001604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A" w14:textId="77777777" w:rsidR="00692C7C" w:rsidRDefault="001604DC">
      <w:pPr>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Incentives</w:t>
      </w:r>
    </w:p>
    <w:p w14:paraId="0000008B" w14:textId="77777777" w:rsidR="00692C7C" w:rsidRDefault="00692C7C">
      <w:pPr>
        <w:spacing w:line="240" w:lineRule="auto"/>
        <w:jc w:val="center"/>
        <w:rPr>
          <w:rFonts w:ascii="Times New Roman" w:eastAsia="Times New Roman" w:hAnsi="Times New Roman" w:cs="Times New Roman"/>
          <w:sz w:val="24"/>
          <w:szCs w:val="24"/>
          <w:u w:val="single"/>
        </w:rPr>
      </w:pPr>
    </w:p>
    <w:p w14:paraId="0000008C" w14:textId="77777777" w:rsidR="00692C7C" w:rsidRDefault="001604D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incentives have been the most effective part of our plan. That said, identifying students who are trending towards being chronically absent </w:t>
      </w:r>
      <w:r>
        <w:rPr>
          <w:rFonts w:ascii="Times New Roman" w:eastAsia="Times New Roman" w:hAnsi="Times New Roman" w:cs="Times New Roman"/>
          <w:sz w:val="24"/>
          <w:szCs w:val="24"/>
        </w:rPr>
        <w:t xml:space="preserve">is the first step of our plan. Classroom teachers make parental contact, informing parents that their child’s attendance may eventually become an issue. Our primary goal is to be preemptive, as we strive to keep students from </w:t>
      </w:r>
      <w:r>
        <w:rPr>
          <w:rFonts w:ascii="Times New Roman" w:eastAsia="Times New Roman" w:hAnsi="Times New Roman" w:cs="Times New Roman"/>
          <w:i/>
          <w:sz w:val="24"/>
          <w:szCs w:val="24"/>
        </w:rPr>
        <w:t>even being labeled</w:t>
      </w:r>
      <w:r>
        <w:rPr>
          <w:rFonts w:ascii="Times New Roman" w:eastAsia="Times New Roman" w:hAnsi="Times New Roman" w:cs="Times New Roman"/>
          <w:sz w:val="24"/>
          <w:szCs w:val="24"/>
        </w:rPr>
        <w:t xml:space="preserve"> as chronica</w:t>
      </w:r>
      <w:r>
        <w:rPr>
          <w:rFonts w:ascii="Times New Roman" w:eastAsia="Times New Roman" w:hAnsi="Times New Roman" w:cs="Times New Roman"/>
          <w:sz w:val="24"/>
          <w:szCs w:val="24"/>
        </w:rPr>
        <w:t>lly absent.  Our incentives for attendance have become a part of our school’s philosophy and culture, as students are aware of what they may receive for being present every day. Ice cream socials, morning movies, pizza parties, middle-school dances, perfec</w:t>
      </w:r>
      <w:r>
        <w:rPr>
          <w:rFonts w:ascii="Times New Roman" w:eastAsia="Times New Roman" w:hAnsi="Times New Roman" w:cs="Times New Roman"/>
          <w:sz w:val="24"/>
          <w:szCs w:val="24"/>
        </w:rPr>
        <w:t>t attendance trips, classroom banners, and marking-period certificates have been invaluable incentives in reaching our goal.</w:t>
      </w:r>
    </w:p>
    <w:p w14:paraId="0000008D" w14:textId="77777777" w:rsidR="00692C7C" w:rsidRDefault="00692C7C">
      <w:pPr>
        <w:spacing w:after="240" w:line="240" w:lineRule="auto"/>
        <w:rPr>
          <w:rFonts w:ascii="Times New Roman" w:eastAsia="Times New Roman" w:hAnsi="Times New Roman" w:cs="Times New Roman"/>
          <w:sz w:val="24"/>
          <w:szCs w:val="24"/>
        </w:rPr>
      </w:pPr>
    </w:p>
    <w:p w14:paraId="0000008E" w14:textId="77777777" w:rsidR="00692C7C" w:rsidRDefault="001604DC">
      <w:pPr>
        <w:spacing w:line="240" w:lineRule="auto"/>
        <w:ind w:left="360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Interventions</w:t>
      </w:r>
    </w:p>
    <w:p w14:paraId="0000008F" w14:textId="77777777" w:rsidR="00692C7C" w:rsidRDefault="00692C7C">
      <w:pPr>
        <w:spacing w:line="240" w:lineRule="auto"/>
        <w:rPr>
          <w:rFonts w:ascii="Times New Roman" w:eastAsia="Times New Roman" w:hAnsi="Times New Roman" w:cs="Times New Roman"/>
          <w:sz w:val="24"/>
          <w:szCs w:val="24"/>
        </w:rPr>
      </w:pPr>
    </w:p>
    <w:p w14:paraId="00000090" w14:textId="77777777" w:rsidR="00692C7C" w:rsidRDefault="001604DC">
      <w:pPr>
        <w:spacing w:line="240" w:lineRule="auto"/>
        <w:ind w:firstLine="720"/>
        <w:rPr>
          <w:rFonts w:ascii="Times New Roman" w:eastAsia="Times New Roman" w:hAnsi="Times New Roman" w:cs="Times New Roman"/>
        </w:rPr>
      </w:pPr>
      <w:r>
        <w:rPr>
          <w:rFonts w:ascii="Times New Roman" w:eastAsia="Times New Roman" w:hAnsi="Times New Roman" w:cs="Times New Roman"/>
          <w:sz w:val="24"/>
          <w:szCs w:val="24"/>
        </w:rPr>
        <w:t>Our teacher-led collaborative team is continually monitoring attendance data. Relevant data is then analyzed and clarified, and the results have developed into a variety of interventions such as a morning attendance program and having teachers call home af</w:t>
      </w:r>
      <w:r>
        <w:rPr>
          <w:rFonts w:ascii="Times New Roman" w:eastAsia="Times New Roman" w:hAnsi="Times New Roman" w:cs="Times New Roman"/>
          <w:sz w:val="24"/>
          <w:szCs w:val="24"/>
        </w:rPr>
        <w:t>ter three absences. After four absences, an action plan is determined and administered. After seven days of absences, truancy is notified. Lastly, letters are sent home at five, ten, and fifteen-day intervals. Moreover, ongoing staff professional developme</w:t>
      </w:r>
      <w:r>
        <w:rPr>
          <w:rFonts w:ascii="Times New Roman" w:eastAsia="Times New Roman" w:hAnsi="Times New Roman" w:cs="Times New Roman"/>
          <w:sz w:val="24"/>
          <w:szCs w:val="24"/>
        </w:rPr>
        <w:t>nt is also integral to the success of our attendance plan.  Additionally, we have taken the opportunity to educate our students’ parents during our Back-to-School night and parent-teacher conferences.  In closing, the collaboration between staff, students,</w:t>
      </w:r>
      <w:r>
        <w:rPr>
          <w:rFonts w:ascii="Times New Roman" w:eastAsia="Times New Roman" w:hAnsi="Times New Roman" w:cs="Times New Roman"/>
          <w:sz w:val="24"/>
          <w:szCs w:val="24"/>
        </w:rPr>
        <w:t xml:space="preserve"> and parents has had a positive and direct impact on student attendance, and ultimately, student achievement.</w:t>
      </w:r>
    </w:p>
    <w:p w14:paraId="00000091" w14:textId="77777777" w:rsidR="00692C7C" w:rsidRDefault="00692C7C">
      <w:pPr>
        <w:ind w:left="720"/>
        <w:rPr>
          <w:rFonts w:ascii="Times New Roman" w:eastAsia="Times New Roman" w:hAnsi="Times New Roman" w:cs="Times New Roman"/>
          <w:sz w:val="24"/>
          <w:szCs w:val="24"/>
        </w:rPr>
      </w:pPr>
    </w:p>
    <w:p w14:paraId="00000092" w14:textId="77777777" w:rsidR="00692C7C" w:rsidRDefault="00692C7C">
      <w:pPr>
        <w:ind w:left="720"/>
      </w:pPr>
    </w:p>
    <w:sectPr w:rsidR="00692C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C7C"/>
    <w:rsid w:val="001604DC"/>
    <w:rsid w:val="004A2CC3"/>
    <w:rsid w:val="00692C7C"/>
    <w:rsid w:val="00D4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D9197"/>
  <w15:docId w15:val="{215D9C9C-E5E3-0445-BAD8-1C40E25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c.doe.state.nj.us/Documents/1920/ReferenceGuide.pdf" TargetMode="External"/><Relationship Id="rId5" Type="http://schemas.openxmlformats.org/officeDocument/2006/relationships/hyperlink" Target="https://www.nj.gov/education/students/safety/behavior/attendance/" TargetMode="External"/><Relationship Id="rId4" Type="http://schemas.openxmlformats.org/officeDocument/2006/relationships/hyperlink" Target="https://rc.doe.state.nj.us/Documents/1920/Referen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2021-06-04T18:34:00Z</dcterms:created>
  <dcterms:modified xsi:type="dcterms:W3CDTF">2021-06-04T18:36:00Z</dcterms:modified>
</cp:coreProperties>
</file>