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002A" w14:textId="51B9F64A" w:rsidR="00E11FF0" w:rsidRDefault="003810D3">
      <w:r>
        <w:rPr>
          <w:noProof/>
        </w:rPr>
        <w:drawing>
          <wp:inline distT="0" distB="0" distL="0" distR="0" wp14:anchorId="662A54DD" wp14:editId="7F6DFDD7">
            <wp:extent cx="7629525" cy="2171700"/>
            <wp:effectExtent l="0" t="0" r="9525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F0" w:rsidSect="00381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D3"/>
    <w:rsid w:val="003810D3"/>
    <w:rsid w:val="008D1FC6"/>
    <w:rsid w:val="00E11FF0"/>
    <w:rsid w:val="00E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88A6"/>
  <w15:chartTrackingRefBased/>
  <w15:docId w15:val="{6A8205AF-054E-4FFA-ABD0-0B476FC7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DDF4-991F-46EA-99E3-A5EF4CA4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Houston County Board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Catherine</dc:creator>
  <cp:keywords/>
  <dc:description/>
  <cp:lastModifiedBy>Gardner, Catherine</cp:lastModifiedBy>
  <cp:revision>1</cp:revision>
  <dcterms:created xsi:type="dcterms:W3CDTF">2022-09-23T15:35:00Z</dcterms:created>
  <dcterms:modified xsi:type="dcterms:W3CDTF">2022-09-23T15:36:00Z</dcterms:modified>
</cp:coreProperties>
</file>