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94" w:rsidRDefault="00602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5"/>
        <w:gridCol w:w="5535"/>
      </w:tblGrid>
      <w:tr w:rsidR="00602094">
        <w:tc>
          <w:tcPr>
            <w:tcW w:w="110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02094" w:rsidRDefault="00CD5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Goal:  </w:t>
            </w:r>
          </w:p>
        </w:tc>
      </w:tr>
      <w:tr w:rsidR="00602094">
        <w:tc>
          <w:tcPr>
            <w:tcW w:w="11070" w:type="dxa"/>
            <w:gridSpan w:val="2"/>
            <w:tcBorders>
              <w:bottom w:val="single" w:sz="4" w:space="0" w:color="000000"/>
            </w:tcBorders>
          </w:tcPr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>
              <w:rPr>
                <w:b/>
                <w:sz w:val="24"/>
                <w:szCs w:val="24"/>
              </w:rPr>
              <w:t>unit goal</w:t>
            </w:r>
            <w:r>
              <w:rPr>
                <w:sz w:val="24"/>
                <w:szCs w:val="24"/>
              </w:rPr>
              <w:t xml:space="preserve"> is </w:t>
            </w:r>
            <w:r>
              <w:rPr>
                <w:sz w:val="24"/>
                <w:szCs w:val="24"/>
              </w:rPr>
              <w:t>the overarching goal for student learning.</w:t>
            </w:r>
            <w:r>
              <w:rPr>
                <w:sz w:val="24"/>
                <w:szCs w:val="24"/>
              </w:rPr>
              <w:t xml:space="preserve">  It provides</w:t>
            </w:r>
            <w:r>
              <w:rPr>
                <w:sz w:val="24"/>
                <w:szCs w:val="24"/>
              </w:rPr>
              <w:t xml:space="preserve"> a clear sense of what students must know and be able to do over the course of the unit (content and skill mastery).  </w:t>
            </w:r>
            <w:r>
              <w:rPr>
                <w:sz w:val="24"/>
                <w:szCs w:val="24"/>
              </w:rPr>
              <w:t xml:space="preserve"> Content, literacy, and practice standards are used to create the learning outcomes </w:t>
            </w:r>
            <w:r>
              <w:rPr>
                <w:sz w:val="24"/>
                <w:szCs w:val="24"/>
              </w:rPr>
              <w:t>of</w:t>
            </w:r>
            <w:r>
              <w:rPr>
                <w:sz w:val="24"/>
                <w:szCs w:val="24"/>
              </w:rPr>
              <w:t xml:space="preserve"> the unit goal.  It should be written concisely and precisely, contain appropriate academic language and DOK verbs, and written in student-friendly language.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602094" w:rsidRDefault="00602094">
            <w:pPr>
              <w:rPr>
                <w:color w:val="FF0000"/>
                <w:sz w:val="24"/>
                <w:szCs w:val="24"/>
                <w:highlight w:val="yellow"/>
              </w:rPr>
            </w:pPr>
          </w:p>
          <w:p w:rsidR="00602094" w:rsidRDefault="00602094">
            <w:pPr>
              <w:jc w:val="center"/>
              <w:rPr>
                <w:sz w:val="24"/>
                <w:szCs w:val="24"/>
              </w:rPr>
            </w:pPr>
          </w:p>
        </w:tc>
      </w:tr>
      <w:tr w:rsidR="00602094">
        <w:tc>
          <w:tcPr>
            <w:tcW w:w="11070" w:type="dxa"/>
            <w:gridSpan w:val="2"/>
            <w:tcBorders>
              <w:bottom w:val="single" w:sz="4" w:space="0" w:color="000000"/>
            </w:tcBorders>
            <w:shd w:val="clear" w:color="auto" w:fill="000000"/>
          </w:tcPr>
          <w:p w:rsidR="00602094" w:rsidRDefault="00CD5F74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Essential Questions:</w:t>
            </w:r>
          </w:p>
        </w:tc>
      </w:tr>
      <w:tr w:rsidR="00602094">
        <w:trPr>
          <w:trHeight w:val="293"/>
        </w:trPr>
        <w:tc>
          <w:tcPr>
            <w:tcW w:w="11070" w:type="dxa"/>
            <w:gridSpan w:val="2"/>
            <w:vMerge w:val="restart"/>
            <w:tcBorders>
              <w:bottom w:val="nil"/>
              <w:right w:val="nil"/>
            </w:tcBorders>
          </w:tcPr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essential questions should be concise and explicit, linked to the unit goal, and used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to form the learning targets and assessments. </w:t>
            </w:r>
          </w:p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questions should foster inquiry, understanding, and transfer of knowledge.</w:t>
            </w:r>
          </w:p>
          <w:p w:rsidR="00602094" w:rsidRDefault="00602094">
            <w:pPr>
              <w:rPr>
                <w:sz w:val="24"/>
                <w:szCs w:val="24"/>
              </w:rPr>
            </w:pPr>
          </w:p>
        </w:tc>
      </w:tr>
      <w:tr w:rsidR="00602094">
        <w:trPr>
          <w:trHeight w:val="244"/>
        </w:trPr>
        <w:tc>
          <w:tcPr>
            <w:tcW w:w="11070" w:type="dxa"/>
            <w:gridSpan w:val="2"/>
            <w:vMerge/>
            <w:tcBorders>
              <w:top w:val="nil"/>
              <w:bottom w:val="single" w:sz="4" w:space="0" w:color="000000"/>
              <w:right w:val="nil"/>
            </w:tcBorders>
          </w:tcPr>
          <w:p w:rsidR="00602094" w:rsidRDefault="00602094">
            <w:pPr>
              <w:jc w:val="center"/>
              <w:rPr>
                <w:sz w:val="20"/>
                <w:szCs w:val="20"/>
              </w:rPr>
            </w:pPr>
          </w:p>
        </w:tc>
      </w:tr>
      <w:tr w:rsidR="00602094">
        <w:tc>
          <w:tcPr>
            <w:tcW w:w="5535" w:type="dxa"/>
            <w:tcBorders>
              <w:bottom w:val="single" w:sz="4" w:space="0" w:color="000000"/>
            </w:tcBorders>
            <w:shd w:val="clear" w:color="auto" w:fill="D9D9D9"/>
          </w:tcPr>
          <w:p w:rsidR="00602094" w:rsidRDefault="00CD5F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</w:t>
            </w:r>
          </w:p>
        </w:tc>
        <w:tc>
          <w:tcPr>
            <w:tcW w:w="5535" w:type="dxa"/>
            <w:tcBorders>
              <w:bottom w:val="single" w:sz="4" w:space="0" w:color="000000"/>
            </w:tcBorders>
            <w:shd w:val="clear" w:color="auto" w:fill="D9D9D9"/>
          </w:tcPr>
          <w:p w:rsidR="00602094" w:rsidRDefault="00CD5F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Formative Assessments</w:t>
            </w:r>
          </w:p>
        </w:tc>
      </w:tr>
      <w:tr w:rsidR="00602094">
        <w:tc>
          <w:tcPr>
            <w:tcW w:w="5535" w:type="dxa"/>
            <w:tcBorders>
              <w:bottom w:val="single" w:sz="4" w:space="0" w:color="000000"/>
            </w:tcBorders>
            <w:shd w:val="clear" w:color="auto" w:fill="FFFFFF"/>
          </w:tcPr>
          <w:p w:rsidR="00602094" w:rsidRDefault="00602094">
            <w:pPr>
              <w:jc w:val="center"/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 Know: </w:t>
            </w:r>
            <w:r>
              <w:rPr>
                <w:i/>
                <w:sz w:val="24"/>
                <w:szCs w:val="24"/>
              </w:rPr>
              <w:t>(Knowledge/Content-What students must know)</w:t>
            </w:r>
          </w:p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This means I CAN… </w:t>
            </w:r>
            <w:r>
              <w:rPr>
                <w:i/>
                <w:sz w:val="24"/>
                <w:szCs w:val="24"/>
              </w:rPr>
              <w:t>(Skills-What students must be able</w:t>
            </w:r>
            <w:r>
              <w:rPr>
                <w:i/>
                <w:sz w:val="24"/>
                <w:szCs w:val="24"/>
              </w:rPr>
              <w:t xml:space="preserve"> t</w:t>
            </w:r>
            <w:r>
              <w:rPr>
                <w:i/>
                <w:sz w:val="24"/>
                <w:szCs w:val="24"/>
              </w:rPr>
              <w:t>o do)</w:t>
            </w:r>
          </w:p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targets should be standards-based statements that are measurable.  </w:t>
            </w:r>
            <w:r>
              <w:rPr>
                <w:sz w:val="24"/>
                <w:szCs w:val="24"/>
              </w:rPr>
              <w:t xml:space="preserve">Each learning target should be translated into concrete, specific lesson objectives that can be taught in one or two lessons.  </w:t>
            </w:r>
            <w:r>
              <w:rPr>
                <w:sz w:val="24"/>
                <w:szCs w:val="24"/>
              </w:rPr>
              <w:t xml:space="preserve">They should contain appropriate academic language and DOK verbs and be written in student-friendly language.  </w:t>
            </w:r>
            <w:r>
              <w:rPr>
                <w:sz w:val="24"/>
                <w:szCs w:val="24"/>
              </w:rPr>
              <w:t xml:space="preserve"> </w:t>
            </w:r>
          </w:p>
          <w:p w:rsidR="00602094" w:rsidRDefault="006020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35" w:type="dxa"/>
            <w:vMerge w:val="restart"/>
            <w:shd w:val="clear" w:color="auto" w:fill="FFFFFF"/>
          </w:tcPr>
          <w:p w:rsidR="00602094" w:rsidRDefault="00602094">
            <w:pPr>
              <w:jc w:val="center"/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Each </w:t>
            </w:r>
            <w:r>
              <w:rPr>
                <w:b/>
                <w:sz w:val="24"/>
                <w:szCs w:val="24"/>
              </w:rPr>
              <w:t xml:space="preserve">formative </w:t>
            </w:r>
            <w:r>
              <w:rPr>
                <w:b/>
                <w:sz w:val="24"/>
                <w:szCs w:val="24"/>
              </w:rPr>
              <w:t>assessment</w:t>
            </w:r>
            <w:r>
              <w:rPr>
                <w:sz w:val="24"/>
                <w:szCs w:val="24"/>
              </w:rPr>
              <w:t xml:space="preserve"> should be aligned with a learning target and mirror the summative assessment.   </w:t>
            </w:r>
            <w:r>
              <w:rPr>
                <w:sz w:val="24"/>
                <w:szCs w:val="24"/>
              </w:rPr>
              <w:t xml:space="preserve">It is used to check at every step to make sure students have mastered individual learning targets.   </w:t>
            </w:r>
            <w:r>
              <w:rPr>
                <w:sz w:val="24"/>
                <w:szCs w:val="24"/>
              </w:rPr>
              <w:t>It should also have explicit criteria for mastery and show level</w:t>
            </w:r>
            <w:r>
              <w:rPr>
                <w:sz w:val="24"/>
                <w:szCs w:val="24"/>
              </w:rPr>
              <w:t xml:space="preserve">s of mastery.  </w:t>
            </w:r>
            <w:r>
              <w:rPr>
                <w:sz w:val="24"/>
                <w:szCs w:val="24"/>
              </w:rPr>
              <w:t xml:space="preserve">There should be more than one opportunity to demonstrate mastery of each learning target.  </w:t>
            </w:r>
          </w:p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Summative assessments</w:t>
            </w:r>
            <w:r>
              <w:rPr>
                <w:sz w:val="24"/>
                <w:szCs w:val="24"/>
              </w:rPr>
              <w:t xml:space="preserve"> should give students the ability to demonstrate mastery in multiple learning targets and reflect to answer the essential quest</w:t>
            </w:r>
            <w:r>
              <w:rPr>
                <w:sz w:val="24"/>
                <w:szCs w:val="24"/>
              </w:rPr>
              <w:t xml:space="preserve">ions.  It should also have </w:t>
            </w:r>
            <w:r>
              <w:rPr>
                <w:sz w:val="24"/>
                <w:szCs w:val="24"/>
              </w:rPr>
              <w:t>explicit criteria for mastery and show levels of mastery.  It should also</w:t>
            </w:r>
            <w:r>
              <w:rPr>
                <w:sz w:val="24"/>
                <w:szCs w:val="24"/>
              </w:rPr>
              <w:t xml:space="preserve"> make connections to other units and include performance tasks aligned to CAASPP. (This part is </w:t>
            </w:r>
            <w:r>
              <w:rPr>
                <w:sz w:val="24"/>
                <w:szCs w:val="24"/>
              </w:rPr>
              <w:t>not on the backwards unit design.)</w:t>
            </w:r>
          </w:p>
          <w:p w:rsidR="00602094" w:rsidRDefault="00602094">
            <w:pPr>
              <w:jc w:val="center"/>
              <w:rPr>
                <w:sz w:val="24"/>
                <w:szCs w:val="24"/>
              </w:rPr>
            </w:pPr>
          </w:p>
          <w:p w:rsidR="00602094" w:rsidRDefault="00602094">
            <w:pPr>
              <w:jc w:val="center"/>
              <w:rPr>
                <w:sz w:val="24"/>
                <w:szCs w:val="24"/>
              </w:rPr>
            </w:pPr>
          </w:p>
        </w:tc>
      </w:tr>
      <w:tr w:rsidR="00602094">
        <w:trPr>
          <w:trHeight w:val="1840"/>
        </w:trPr>
        <w:tc>
          <w:tcPr>
            <w:tcW w:w="5535" w:type="dxa"/>
            <w:shd w:val="clear" w:color="auto" w:fill="D9D9D9"/>
          </w:tcPr>
          <w:p w:rsidR="00602094" w:rsidRDefault="00CD5F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 your level of understanding</w:t>
            </w:r>
            <w:r>
              <w:rPr>
                <w:sz w:val="24"/>
                <w:szCs w:val="24"/>
              </w:rPr>
              <w:t>. Remember that your rating can change over time.</w:t>
            </w:r>
          </w:p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to Me</w:t>
            </w:r>
            <w:r>
              <w:rPr>
                <w:sz w:val="24"/>
                <w:szCs w:val="24"/>
              </w:rPr>
              <w:tab/>
              <w:t xml:space="preserve">                                                 I Got This!</w:t>
            </w:r>
          </w:p>
          <w:p w:rsidR="00602094" w:rsidRDefault="00602094">
            <w:pPr>
              <w:jc w:val="center"/>
              <w:rPr>
                <w:sz w:val="24"/>
                <w:szCs w:val="24"/>
              </w:rPr>
            </w:pPr>
          </w:p>
          <w:p w:rsidR="00602094" w:rsidRDefault="00CD5F7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02000" cy="381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89285" y="3780000"/>
                                <a:ext cx="3313430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02000" cy="381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020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535" w:type="dxa"/>
            <w:vMerge/>
            <w:shd w:val="clear" w:color="auto" w:fill="FFFFFF"/>
          </w:tcPr>
          <w:p w:rsidR="00602094" w:rsidRDefault="00602094">
            <w:pPr>
              <w:jc w:val="center"/>
              <w:rPr>
                <w:sz w:val="23"/>
                <w:szCs w:val="23"/>
              </w:rPr>
            </w:pPr>
          </w:p>
        </w:tc>
      </w:tr>
      <w:tr w:rsidR="00602094">
        <w:tc>
          <w:tcPr>
            <w:tcW w:w="11070" w:type="dxa"/>
            <w:gridSpan w:val="2"/>
            <w:shd w:val="clear" w:color="auto" w:fill="434343"/>
          </w:tcPr>
          <w:p w:rsidR="00602094" w:rsidRDefault="00CD5F74">
            <w:pPr>
              <w:jc w:val="center"/>
              <w:rPr>
                <w:b/>
                <w:i/>
                <w:color w:val="FFFFFF"/>
                <w:sz w:val="24"/>
                <w:szCs w:val="24"/>
              </w:rPr>
            </w:pPr>
            <w:r>
              <w:rPr>
                <w:b/>
                <w:i/>
                <w:color w:val="FFFFFF"/>
                <w:sz w:val="24"/>
                <w:szCs w:val="24"/>
              </w:rPr>
              <w:t>Student Learning</w:t>
            </w:r>
          </w:p>
        </w:tc>
      </w:tr>
      <w:tr w:rsidR="00602094">
        <w:tc>
          <w:tcPr>
            <w:tcW w:w="110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learning should be the day-to-day planning.  It is how the content and skills will be taught. </w:t>
            </w: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(This part is not on the backwards unit design.)</w:t>
            </w:r>
          </w:p>
          <w:p w:rsidR="00602094" w:rsidRDefault="00602094">
            <w:pPr>
              <w:rPr>
                <w:sz w:val="24"/>
                <w:szCs w:val="24"/>
              </w:rPr>
            </w:pPr>
          </w:p>
        </w:tc>
      </w:tr>
      <w:tr w:rsidR="00602094">
        <w:tc>
          <w:tcPr>
            <w:tcW w:w="11070" w:type="dxa"/>
            <w:gridSpan w:val="2"/>
            <w:tcBorders>
              <w:bottom w:val="single" w:sz="4" w:space="0" w:color="000000"/>
            </w:tcBorders>
            <w:shd w:val="clear" w:color="auto" w:fill="BFBFBF"/>
          </w:tcPr>
          <w:p w:rsidR="00602094" w:rsidRDefault="00CD5F7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Vocabulary to Master:</w:t>
            </w:r>
          </w:p>
        </w:tc>
      </w:tr>
      <w:tr w:rsidR="00602094">
        <w:trPr>
          <w:trHeight w:val="280"/>
        </w:trPr>
        <w:tc>
          <w:tcPr>
            <w:tcW w:w="11070" w:type="dxa"/>
            <w:gridSpan w:val="2"/>
            <w:shd w:val="clear" w:color="auto" w:fill="FFFFFF"/>
          </w:tcPr>
          <w:p w:rsidR="00602094" w:rsidRDefault="00602094">
            <w:pPr>
              <w:rPr>
                <w:sz w:val="24"/>
                <w:szCs w:val="24"/>
              </w:rPr>
            </w:pPr>
          </w:p>
          <w:p w:rsidR="00602094" w:rsidRDefault="00CD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Vocabulary that will be front-loaded to students so that they have access to the content. </w:t>
            </w:r>
          </w:p>
          <w:p w:rsidR="00602094" w:rsidRDefault="00602094">
            <w:pPr>
              <w:rPr>
                <w:sz w:val="24"/>
                <w:szCs w:val="24"/>
              </w:rPr>
            </w:pPr>
          </w:p>
        </w:tc>
      </w:tr>
    </w:tbl>
    <w:p w:rsidR="00602094" w:rsidRDefault="00602094">
      <w:pPr>
        <w:rPr>
          <w:sz w:val="24"/>
          <w:szCs w:val="24"/>
        </w:rPr>
      </w:pPr>
    </w:p>
    <w:sectPr w:rsidR="0060209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602094"/>
    <w:rsid w:val="00602094"/>
    <w:rsid w:val="00C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2018-04-30T20:24:00Z</dcterms:created>
  <dcterms:modified xsi:type="dcterms:W3CDTF">2018-04-30T20:24:00Z</dcterms:modified>
</cp:coreProperties>
</file>