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57A" w:rsidRDefault="00F67B8A" w:rsidP="00D61C32">
      <w:pPr>
        <w:spacing w:after="0" w:line="240" w:lineRule="auto"/>
        <w:jc w:val="center"/>
        <w:rPr>
          <w:b/>
          <w:sz w:val="44"/>
          <w:szCs w:val="44"/>
        </w:rPr>
      </w:pPr>
      <w:r w:rsidRPr="00F67B8A">
        <w:rPr>
          <w:b/>
          <w:sz w:val="44"/>
          <w:szCs w:val="44"/>
        </w:rPr>
        <w:t xml:space="preserve">Have we grown since becoming a </w:t>
      </w:r>
    </w:p>
    <w:p w:rsidR="00F67B8A" w:rsidRDefault="00F67B8A" w:rsidP="00D61C32">
      <w:pPr>
        <w:spacing w:after="0" w:line="240" w:lineRule="auto"/>
        <w:jc w:val="center"/>
        <w:rPr>
          <w:b/>
          <w:sz w:val="44"/>
          <w:szCs w:val="44"/>
        </w:rPr>
      </w:pPr>
      <w:r w:rsidRPr="00F67B8A">
        <w:rPr>
          <w:b/>
          <w:sz w:val="44"/>
          <w:szCs w:val="44"/>
        </w:rPr>
        <w:t xml:space="preserve">Professional Learning Community?                                                                                                                             </w:t>
      </w:r>
    </w:p>
    <w:p w:rsidR="00D61C32" w:rsidRDefault="00D61C32" w:rsidP="00F67B8A">
      <w:pPr>
        <w:spacing w:line="240" w:lineRule="auto"/>
        <w:rPr>
          <w:sz w:val="24"/>
          <w:szCs w:val="24"/>
        </w:rPr>
      </w:pPr>
    </w:p>
    <w:p w:rsidR="00F67B8A" w:rsidRDefault="00F67B8A" w:rsidP="00F67B8A">
      <w:pPr>
        <w:spacing w:line="240" w:lineRule="auto"/>
        <w:rPr>
          <w:sz w:val="24"/>
          <w:szCs w:val="24"/>
        </w:rPr>
      </w:pPr>
      <w:r w:rsidRPr="00F67B8A">
        <w:rPr>
          <w:sz w:val="24"/>
          <w:szCs w:val="24"/>
        </w:rPr>
        <w:t xml:space="preserve">In 2005 (prior to beginning </w:t>
      </w:r>
      <w:r>
        <w:rPr>
          <w:sz w:val="24"/>
          <w:szCs w:val="24"/>
        </w:rPr>
        <w:t>our</w:t>
      </w:r>
      <w:r w:rsidRPr="00F67B8A">
        <w:rPr>
          <w:sz w:val="24"/>
          <w:szCs w:val="24"/>
        </w:rPr>
        <w:t xml:space="preserve"> PLC journey), the following data was noted </w:t>
      </w:r>
      <w:r>
        <w:rPr>
          <w:sz w:val="24"/>
          <w:szCs w:val="24"/>
        </w:rPr>
        <w:t xml:space="preserve">in the school report card </w:t>
      </w:r>
      <w:r w:rsidRPr="00F67B8A">
        <w:rPr>
          <w:sz w:val="24"/>
          <w:szCs w:val="24"/>
        </w:rPr>
        <w:t xml:space="preserve">by the state of New York in regard to </w:t>
      </w:r>
      <w:r w:rsidR="00727A02">
        <w:rPr>
          <w:sz w:val="24"/>
          <w:szCs w:val="24"/>
        </w:rPr>
        <w:t>CR Weeks</w:t>
      </w:r>
      <w:r w:rsidRPr="00F67B8A">
        <w:rPr>
          <w:sz w:val="24"/>
          <w:szCs w:val="24"/>
        </w:rPr>
        <w:t xml:space="preserve"> Elementary School: </w:t>
      </w:r>
    </w:p>
    <w:p w:rsidR="00F67B8A" w:rsidRDefault="00F67B8A" w:rsidP="00F67B8A">
      <w:pPr>
        <w:spacing w:line="240" w:lineRule="auto"/>
        <w:rPr>
          <w:sz w:val="24"/>
          <w:szCs w:val="24"/>
        </w:rPr>
      </w:pPr>
      <w:r w:rsidRPr="00F67B8A">
        <w:rPr>
          <w:sz w:val="24"/>
          <w:szCs w:val="24"/>
        </w:rPr>
        <w:t>Both the Grade 4 ELA Assessment and Grade</w:t>
      </w:r>
      <w:r w:rsidR="006B0DB9">
        <w:rPr>
          <w:sz w:val="24"/>
          <w:szCs w:val="24"/>
        </w:rPr>
        <w:t xml:space="preserve"> 4</w:t>
      </w:r>
      <w:r w:rsidRPr="00F67B8A">
        <w:rPr>
          <w:sz w:val="24"/>
          <w:szCs w:val="24"/>
        </w:rPr>
        <w:t xml:space="preserve"> Math Assessment results</w:t>
      </w:r>
      <w:r>
        <w:rPr>
          <w:sz w:val="24"/>
          <w:szCs w:val="24"/>
        </w:rPr>
        <w:t xml:space="preserve"> (the only assessments </w:t>
      </w:r>
      <w:r w:rsidR="006B0DB9">
        <w:rPr>
          <w:sz w:val="24"/>
          <w:szCs w:val="24"/>
        </w:rPr>
        <w:t>administered</w:t>
      </w:r>
      <w:r>
        <w:rPr>
          <w:sz w:val="24"/>
          <w:szCs w:val="24"/>
        </w:rPr>
        <w:t xml:space="preserve"> at the time at the elementary level)</w:t>
      </w:r>
      <w:r w:rsidRPr="00F67B8A">
        <w:rPr>
          <w:sz w:val="24"/>
          <w:szCs w:val="24"/>
        </w:rPr>
        <w:t xml:space="preserve"> were considered </w:t>
      </w:r>
      <w:r w:rsidRPr="00F26941">
        <w:rPr>
          <w:b/>
          <w:sz w:val="24"/>
          <w:szCs w:val="24"/>
        </w:rPr>
        <w:t>"below average"</w:t>
      </w:r>
      <w:r w:rsidRPr="00F67B8A">
        <w:rPr>
          <w:sz w:val="24"/>
          <w:szCs w:val="24"/>
        </w:rPr>
        <w:t xml:space="preserve"> compared to similar schools.  </w:t>
      </w:r>
    </w:p>
    <w:p w:rsidR="00DB5541" w:rsidRDefault="00F67B8A" w:rsidP="00F67B8A">
      <w:pPr>
        <w:spacing w:line="240" w:lineRule="auto"/>
        <w:rPr>
          <w:sz w:val="24"/>
          <w:szCs w:val="24"/>
        </w:rPr>
      </w:pPr>
      <w:r w:rsidRPr="00F67B8A">
        <w:rPr>
          <w:sz w:val="24"/>
          <w:szCs w:val="24"/>
        </w:rPr>
        <w:t>Today, the Windsor Central School District</w:t>
      </w:r>
      <w:r>
        <w:rPr>
          <w:sz w:val="24"/>
          <w:szCs w:val="24"/>
        </w:rPr>
        <w:t xml:space="preserve"> (pink dot) outperforms the majority of similar schools in the state (grey dots) as noted by the </w:t>
      </w:r>
      <w:r w:rsidR="00DC0A37">
        <w:rPr>
          <w:sz w:val="24"/>
          <w:szCs w:val="24"/>
        </w:rPr>
        <w:t xml:space="preserve">2019 </w:t>
      </w:r>
      <w:r>
        <w:rPr>
          <w:sz w:val="24"/>
          <w:szCs w:val="24"/>
        </w:rPr>
        <w:t>released assessment performance charts below:</w:t>
      </w:r>
    </w:p>
    <w:p w:rsidR="00E001F8" w:rsidRDefault="00E001F8" w:rsidP="00F67B8A">
      <w:pPr>
        <w:spacing w:line="240" w:lineRule="auto"/>
        <w:rPr>
          <w:sz w:val="24"/>
          <w:szCs w:val="24"/>
        </w:rPr>
      </w:pPr>
    </w:p>
    <w:p w:rsidR="007B73B1" w:rsidRDefault="007B73B1" w:rsidP="00F67B8A">
      <w:pPr>
        <w:spacing w:line="240" w:lineRule="auto"/>
        <w:rPr>
          <w:noProof/>
        </w:rPr>
      </w:pPr>
    </w:p>
    <w:p w:rsidR="00F67B8A" w:rsidRDefault="00F67B8A" w:rsidP="00F67B8A">
      <w:pPr>
        <w:spacing w:line="240" w:lineRule="auto"/>
        <w:rPr>
          <w:sz w:val="24"/>
          <w:szCs w:val="24"/>
        </w:rPr>
      </w:pPr>
      <w:r>
        <w:rPr>
          <w:noProof/>
        </w:rPr>
        <w:drawing>
          <wp:inline distT="0" distB="0" distL="0" distR="0" wp14:anchorId="6209334E" wp14:editId="7A54A3D8">
            <wp:extent cx="6819900" cy="37691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1541" cy="3786648"/>
                    </a:xfrm>
                    <a:prstGeom prst="rect">
                      <a:avLst/>
                    </a:prstGeom>
                  </pic:spPr>
                </pic:pic>
              </a:graphicData>
            </a:graphic>
          </wp:inline>
        </w:drawing>
      </w:r>
    </w:p>
    <w:p w:rsidR="00F67B8A" w:rsidRDefault="00F67B8A" w:rsidP="00F67B8A">
      <w:pPr>
        <w:spacing w:line="240" w:lineRule="auto"/>
        <w:rPr>
          <w:b/>
          <w:sz w:val="24"/>
          <w:szCs w:val="24"/>
        </w:rPr>
      </w:pPr>
      <w:r>
        <w:rPr>
          <w:noProof/>
        </w:rPr>
        <w:lastRenderedPageBreak/>
        <w:drawing>
          <wp:inline distT="0" distB="0" distL="0" distR="0" wp14:anchorId="144D413A" wp14:editId="72881C5B">
            <wp:extent cx="6800850" cy="3780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34360" cy="3799057"/>
                    </a:xfrm>
                    <a:prstGeom prst="rect">
                      <a:avLst/>
                    </a:prstGeom>
                  </pic:spPr>
                </pic:pic>
              </a:graphicData>
            </a:graphic>
          </wp:inline>
        </w:drawing>
      </w:r>
    </w:p>
    <w:p w:rsidR="00441DE1" w:rsidRDefault="00441DE1" w:rsidP="00441DE1">
      <w:r>
        <w:t>I</w:t>
      </w:r>
      <w:r>
        <w:t>n 2017</w:t>
      </w:r>
      <w:r>
        <w:t>,</w:t>
      </w:r>
      <w:r>
        <w:t xml:space="preserve"> </w:t>
      </w:r>
      <w:r w:rsidR="003C56B1">
        <w:t xml:space="preserve">the staff of </w:t>
      </w:r>
      <w:r>
        <w:t xml:space="preserve">C.R. Weeks Elementary School </w:t>
      </w:r>
      <w:r>
        <w:t xml:space="preserve">proudly </w:t>
      </w:r>
      <w:r>
        <w:t xml:space="preserve">opened their doors to </w:t>
      </w:r>
      <w:r>
        <w:t>a</w:t>
      </w:r>
      <w:r>
        <w:t xml:space="preserve"> </w:t>
      </w:r>
      <w:r>
        <w:t xml:space="preserve">districtwide </w:t>
      </w:r>
      <w:r>
        <w:t xml:space="preserve">special education inclusive classroom.  </w:t>
      </w:r>
      <w:r>
        <w:t xml:space="preserve">We wanted to ensure that our most striving learners stayed in our own community, rather than be sent to locations off site.  </w:t>
      </w:r>
    </w:p>
    <w:p w:rsidR="00A84EBA" w:rsidRDefault="00441DE1" w:rsidP="00441DE1">
      <w:r>
        <w:t xml:space="preserve">A majority </w:t>
      </w:r>
      <w:r>
        <w:t xml:space="preserve">of these students take the state assessments (despite it being challenging for many.)  While we do not like to use this as an excuse, with </w:t>
      </w:r>
      <w:r>
        <w:t xml:space="preserve">full grade level </w:t>
      </w:r>
      <w:r>
        <w:t>class sizes</w:t>
      </w:r>
      <w:r w:rsidR="00A84EBA">
        <w:t xml:space="preserve"> in the building</w:t>
      </w:r>
      <w:r>
        <w:t xml:space="preserve"> of approximately 40</w:t>
      </w:r>
      <w:r>
        <w:t xml:space="preserve"> </w:t>
      </w:r>
      <w:r w:rsidR="00A84EBA">
        <w:t>students</w:t>
      </w:r>
      <w:r>
        <w:t xml:space="preserve">, 3-6 students per grade level </w:t>
      </w:r>
      <w:r>
        <w:t xml:space="preserve">who score below proficiency level </w:t>
      </w:r>
      <w:r>
        <w:t>do make a significant difference in overall proficiency levels</w:t>
      </w:r>
      <w:r w:rsidR="00A84EBA">
        <w:t xml:space="preserve"> for the school</w:t>
      </w:r>
      <w:r>
        <w:t>. </w:t>
      </w:r>
    </w:p>
    <w:p w:rsidR="00441DE1" w:rsidRDefault="00441DE1" w:rsidP="00441DE1">
      <w:r>
        <w:t>Below is a chart showing overall building proficiency.  We pride ourselves in the fact that with the inclusion of these striving learners, the proficiency rates (from 2017 to 2019) actually are improving or are remaining somewhat steady.</w:t>
      </w:r>
      <w:r>
        <w:t xml:space="preserve">  We will continue to do all that we can as a professional staff to continue to </w:t>
      </w:r>
      <w:r w:rsidR="00B3138B">
        <w:t xml:space="preserve">support our students and </w:t>
      </w:r>
      <w:bookmarkStart w:id="0" w:name="_GoBack"/>
      <w:bookmarkEnd w:id="0"/>
      <w:r>
        <w:t>raise these levels.</w:t>
      </w:r>
      <w:r>
        <w:t xml:space="preserve"> </w:t>
      </w:r>
    </w:p>
    <w:tbl>
      <w:tblPr>
        <w:tblW w:w="0" w:type="auto"/>
        <w:tblCellMar>
          <w:left w:w="0" w:type="dxa"/>
          <w:right w:w="0" w:type="dxa"/>
        </w:tblCellMar>
        <w:tblLook w:val="04A0" w:firstRow="1" w:lastRow="0" w:firstColumn="1" w:lastColumn="0" w:noHBand="0" w:noVBand="1"/>
      </w:tblPr>
      <w:tblGrid>
        <w:gridCol w:w="1204"/>
        <w:gridCol w:w="1169"/>
        <w:gridCol w:w="1169"/>
        <w:gridCol w:w="1169"/>
      </w:tblGrid>
      <w:tr w:rsidR="00441DE1" w:rsidTr="00441DE1">
        <w:tc>
          <w:tcPr>
            <w:tcW w:w="1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t xml:space="preserve"> Overall Proficiency </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DE1" w:rsidRDefault="00441DE1">
            <w:r>
              <w:t>2017</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DE1" w:rsidRDefault="00441DE1">
            <w:r>
              <w:t>2018</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DE1" w:rsidRDefault="00441DE1">
            <w:r>
              <w:t>2019</w:t>
            </w:r>
          </w:p>
        </w:tc>
      </w:tr>
      <w:tr w:rsidR="00441DE1" w:rsidTr="00441DE1">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t>ELA</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39%</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42%</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41%</w:t>
            </w:r>
          </w:p>
        </w:tc>
      </w:tr>
      <w:tr w:rsidR="00441DE1" w:rsidTr="00441DE1">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t>MATH</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63%</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60%</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58%</w:t>
            </w:r>
          </w:p>
        </w:tc>
      </w:tr>
    </w:tbl>
    <w:p w:rsidR="00441DE1" w:rsidRDefault="00441DE1" w:rsidP="00441DE1">
      <w:pPr>
        <w:rPr>
          <w:rFonts w:ascii="Calibri" w:hAnsi="Calibri" w:cs="Calibri"/>
        </w:rPr>
      </w:pPr>
      <w:r>
        <w:t> </w:t>
      </w:r>
    </w:p>
    <w:p w:rsidR="00A84EBA" w:rsidRDefault="00A84EBA" w:rsidP="00441DE1"/>
    <w:p w:rsidR="00A84EBA" w:rsidRDefault="00A84EBA" w:rsidP="00441DE1"/>
    <w:p w:rsidR="00A84EBA" w:rsidRDefault="00A84EBA" w:rsidP="00441DE1"/>
    <w:p w:rsidR="00A84EBA" w:rsidRDefault="00A84EBA" w:rsidP="00441DE1"/>
    <w:p w:rsidR="00A84EBA" w:rsidRDefault="00A84EBA" w:rsidP="00441DE1"/>
    <w:p w:rsidR="00A84EBA" w:rsidRDefault="00A84EBA" w:rsidP="00441DE1"/>
    <w:p w:rsidR="006537F6" w:rsidRDefault="006537F6" w:rsidP="00441DE1"/>
    <w:p w:rsidR="00441DE1" w:rsidRDefault="00441DE1" w:rsidP="00441DE1">
      <w:r>
        <w:lastRenderedPageBreak/>
        <w:t xml:space="preserve">Overall proficiency of </w:t>
      </w:r>
      <w:r w:rsidRPr="00A84EBA">
        <w:rPr>
          <w:b/>
        </w:rPr>
        <w:t>n</w:t>
      </w:r>
      <w:r>
        <w:rPr>
          <w:b/>
          <w:bCs/>
        </w:rPr>
        <w:t>on-economically disadvantaged</w:t>
      </w:r>
      <w:r>
        <w:t xml:space="preserve"> students</w:t>
      </w:r>
      <w:r>
        <w:t xml:space="preserve"> is as follows:</w:t>
      </w:r>
    </w:p>
    <w:tbl>
      <w:tblPr>
        <w:tblW w:w="0" w:type="auto"/>
        <w:tblCellMar>
          <w:left w:w="0" w:type="dxa"/>
          <w:right w:w="0" w:type="dxa"/>
        </w:tblCellMar>
        <w:tblLook w:val="04A0" w:firstRow="1" w:lastRow="0" w:firstColumn="1" w:lastColumn="0" w:noHBand="0" w:noVBand="1"/>
      </w:tblPr>
      <w:tblGrid>
        <w:gridCol w:w="1204"/>
        <w:gridCol w:w="1169"/>
        <w:gridCol w:w="949"/>
      </w:tblGrid>
      <w:tr w:rsidR="00441DE1" w:rsidTr="00441DE1">
        <w:tc>
          <w:tcPr>
            <w:tcW w:w="1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t xml:space="preserve">Overall Proficiency </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DE1" w:rsidRDefault="00441DE1">
            <w:r>
              <w:t>2018</w:t>
            </w: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DE1" w:rsidRDefault="00441DE1">
            <w:r>
              <w:t>2019</w:t>
            </w:r>
          </w:p>
        </w:tc>
      </w:tr>
      <w:tr w:rsidR="00441DE1" w:rsidTr="00441DE1">
        <w:tc>
          <w:tcPr>
            <w:tcW w:w="33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rPr>
                <w:b/>
                <w:bCs/>
              </w:rPr>
              <w:t>ELA</w:t>
            </w:r>
          </w:p>
        </w:tc>
      </w:tr>
      <w:tr w:rsidR="00441DE1" w:rsidTr="00441DE1">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t>Grade 3</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55%</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70%</w:t>
            </w:r>
          </w:p>
        </w:tc>
      </w:tr>
      <w:tr w:rsidR="00441DE1" w:rsidTr="00441DE1">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t>Grade 4</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87%</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45%</w:t>
            </w:r>
          </w:p>
        </w:tc>
      </w:tr>
      <w:tr w:rsidR="00441DE1" w:rsidTr="00441DE1">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t>Grade 5</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45%</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rsidR="00441DE1" w:rsidRDefault="00441DE1">
            <w:r>
              <w:t>53%</w:t>
            </w:r>
          </w:p>
        </w:tc>
      </w:tr>
      <w:tr w:rsidR="00441DE1" w:rsidTr="00441DE1">
        <w:tc>
          <w:tcPr>
            <w:tcW w:w="33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DE1" w:rsidRDefault="00441DE1">
            <w:r>
              <w:rPr>
                <w:b/>
                <w:bCs/>
              </w:rPr>
              <w:t>Math</w:t>
            </w:r>
          </w:p>
        </w:tc>
      </w:tr>
      <w:tr w:rsidR="00441DE1" w:rsidTr="00441DE1">
        <w:tc>
          <w:tcPr>
            <w:tcW w:w="1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Grade 3</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62%</w:t>
            </w:r>
          </w:p>
        </w:tc>
        <w:tc>
          <w:tcPr>
            <w:tcW w:w="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70%</w:t>
            </w:r>
          </w:p>
        </w:tc>
      </w:tr>
      <w:tr w:rsidR="00441DE1" w:rsidTr="00441DE1">
        <w:tc>
          <w:tcPr>
            <w:tcW w:w="1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Grade 4</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75%</w:t>
            </w:r>
          </w:p>
        </w:tc>
        <w:tc>
          <w:tcPr>
            <w:tcW w:w="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67%</w:t>
            </w:r>
          </w:p>
        </w:tc>
      </w:tr>
      <w:tr w:rsidR="00441DE1" w:rsidTr="00441DE1">
        <w:tc>
          <w:tcPr>
            <w:tcW w:w="1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Grade 5</w:t>
            </w:r>
          </w:p>
        </w:tc>
        <w:tc>
          <w:tcPr>
            <w:tcW w:w="1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69%</w:t>
            </w:r>
          </w:p>
        </w:tc>
        <w:tc>
          <w:tcPr>
            <w:tcW w:w="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1DE1" w:rsidRDefault="00441DE1">
            <w:r>
              <w:rPr>
                <w:color w:val="000000"/>
              </w:rPr>
              <w:t>73%</w:t>
            </w:r>
          </w:p>
        </w:tc>
      </w:tr>
    </w:tbl>
    <w:p w:rsidR="00441DE1" w:rsidRDefault="00441DE1" w:rsidP="00441DE1">
      <w:pPr>
        <w:rPr>
          <w:rFonts w:ascii="Calibri" w:hAnsi="Calibri" w:cs="Calibri"/>
        </w:rPr>
      </w:pPr>
      <w:r>
        <w:t> </w:t>
      </w:r>
    </w:p>
    <w:p w:rsidR="00441DE1" w:rsidRDefault="00441DE1" w:rsidP="00441DE1">
      <w:r>
        <w:t xml:space="preserve">As evidenced in our application, while these percentages may not </w:t>
      </w:r>
      <w:r w:rsidR="00772ED9">
        <w:t xml:space="preserve">always </w:t>
      </w:r>
      <w:r>
        <w:t>reflect true numerical increases, it is critical to note that small numbers of students can drastically change overall percentiles.  We are incredibly proud of the 2019 Recognition School Award from the NYS Department of Education where our inclusive environment and focus on continuous improvement w</w:t>
      </w:r>
      <w:r w:rsidR="00A84EBA">
        <w:t>ere</w:t>
      </w:r>
      <w:r>
        <w:t xml:space="preserve"> celebrated.</w:t>
      </w:r>
    </w:p>
    <w:p w:rsidR="007B73B1" w:rsidRPr="00F67B8A" w:rsidRDefault="007B73B1" w:rsidP="00F67B8A">
      <w:pPr>
        <w:spacing w:line="240" w:lineRule="auto"/>
        <w:rPr>
          <w:b/>
          <w:sz w:val="24"/>
          <w:szCs w:val="24"/>
        </w:rPr>
      </w:pPr>
    </w:p>
    <w:sectPr w:rsidR="007B73B1" w:rsidRPr="00F67B8A" w:rsidSect="00E00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8A"/>
    <w:rsid w:val="002E357A"/>
    <w:rsid w:val="003C56B1"/>
    <w:rsid w:val="00441DE1"/>
    <w:rsid w:val="004C18D7"/>
    <w:rsid w:val="006537F6"/>
    <w:rsid w:val="006B0DB9"/>
    <w:rsid w:val="00727A02"/>
    <w:rsid w:val="00772ED9"/>
    <w:rsid w:val="007B73B1"/>
    <w:rsid w:val="00905B6A"/>
    <w:rsid w:val="00A84EBA"/>
    <w:rsid w:val="00B12C2D"/>
    <w:rsid w:val="00B3138B"/>
    <w:rsid w:val="00D61C32"/>
    <w:rsid w:val="00DB5541"/>
    <w:rsid w:val="00DC0A37"/>
    <w:rsid w:val="00E001F8"/>
    <w:rsid w:val="00F26941"/>
    <w:rsid w:val="00F6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F48C"/>
  <w15:chartTrackingRefBased/>
  <w15:docId w15:val="{63A97F81-678A-4324-8D87-B4C5A231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Phillips</dc:creator>
  <cp:keywords/>
  <dc:description/>
  <cp:lastModifiedBy>Barbara Phillips</cp:lastModifiedBy>
  <cp:revision>8</cp:revision>
  <dcterms:created xsi:type="dcterms:W3CDTF">2020-03-06T19:17:00Z</dcterms:created>
  <dcterms:modified xsi:type="dcterms:W3CDTF">2020-03-06T19:22:00Z</dcterms:modified>
</cp:coreProperties>
</file>