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tma SemiBold" w:cs="Atma SemiBold" w:eastAsia="Atma SemiBold" w:hAnsi="Atma SemiBold"/>
          <w:sz w:val="28"/>
          <w:szCs w:val="28"/>
        </w:rPr>
      </w:pPr>
      <w:r w:rsidDel="00000000" w:rsidR="00000000" w:rsidRPr="00000000">
        <w:rPr>
          <w:rFonts w:ascii="Atma SemiBold" w:cs="Atma SemiBold" w:eastAsia="Atma SemiBold" w:hAnsi="Atma SemiBold"/>
          <w:sz w:val="28"/>
          <w:szCs w:val="28"/>
          <w:rtl w:val="0"/>
        </w:rPr>
        <w:t xml:space="preserve">22-23 MPMS Data Chats</w:t>
      </w:r>
    </w:p>
    <w:p w:rsidR="00000000" w:rsidDel="00000000" w:rsidP="00000000" w:rsidRDefault="00000000" w:rsidRPr="00000000" w14:paraId="00000002">
      <w:pPr>
        <w:rPr>
          <w:rFonts w:ascii="Atma Medium" w:cs="Atma Medium" w:eastAsia="Atma Medium" w:hAnsi="Atma Medium"/>
          <w:sz w:val="24"/>
          <w:szCs w:val="24"/>
        </w:rPr>
      </w:pPr>
      <w:r w:rsidDel="00000000" w:rsidR="00000000" w:rsidRPr="00000000">
        <w:rPr>
          <w:rFonts w:ascii="Atma Medium" w:cs="Atma Medium" w:eastAsia="Atma Medium" w:hAnsi="Atma Medium"/>
          <w:sz w:val="24"/>
          <w:szCs w:val="24"/>
          <w:rtl w:val="0"/>
        </w:rPr>
        <w:t xml:space="preserve">Purpose: </w:t>
      </w:r>
    </w:p>
    <w:p w:rsidR="00000000" w:rsidDel="00000000" w:rsidP="00000000" w:rsidRDefault="00000000" w:rsidRPr="00000000" w14:paraId="00000003">
      <w:pPr>
        <w:numPr>
          <w:ilvl w:val="0"/>
          <w:numId w:val="1"/>
        </w:numPr>
        <w:ind w:left="720" w:hanging="360"/>
        <w:rPr>
          <w:rFonts w:ascii="Atma Medium" w:cs="Atma Medium" w:eastAsia="Atma Medium" w:hAnsi="Atma Medium"/>
          <w:sz w:val="24"/>
          <w:szCs w:val="24"/>
        </w:rPr>
      </w:pPr>
      <w:r w:rsidDel="00000000" w:rsidR="00000000" w:rsidRPr="00000000">
        <w:rPr>
          <w:rFonts w:ascii="Atma Medium" w:cs="Atma Medium" w:eastAsia="Atma Medium" w:hAnsi="Atma Medium"/>
          <w:sz w:val="24"/>
          <w:szCs w:val="24"/>
          <w:rtl w:val="0"/>
        </w:rPr>
        <w:t xml:space="preserve">We want to ensure we are encouraging targeted student groups to show growth during the academic year. Data chats will serve as a connection between a staff member and a small group of students that they can influence and hold accountable. </w:t>
      </w:r>
    </w:p>
    <w:p w:rsidR="00000000" w:rsidDel="00000000" w:rsidP="00000000" w:rsidRDefault="00000000" w:rsidRPr="00000000" w14:paraId="00000004">
      <w:pPr>
        <w:rPr>
          <w:rFonts w:ascii="Atma Medium" w:cs="Atma Medium" w:eastAsia="Atma Medium" w:hAnsi="Atma Medium"/>
          <w:sz w:val="24"/>
          <w:szCs w:val="24"/>
        </w:rPr>
      </w:pPr>
      <w:r w:rsidDel="00000000" w:rsidR="00000000" w:rsidRPr="00000000">
        <w:rPr>
          <w:rFonts w:ascii="Atma Medium" w:cs="Atma Medium" w:eastAsia="Atma Medium" w:hAnsi="Atma Medium"/>
          <w:sz w:val="24"/>
          <w:szCs w:val="24"/>
          <w:rtl w:val="0"/>
        </w:rPr>
        <w:t xml:space="preserve">Who: </w:t>
      </w:r>
    </w:p>
    <w:p w:rsidR="00000000" w:rsidDel="00000000" w:rsidP="00000000" w:rsidRDefault="00000000" w:rsidRPr="00000000" w14:paraId="00000005">
      <w:pPr>
        <w:numPr>
          <w:ilvl w:val="0"/>
          <w:numId w:val="2"/>
        </w:numPr>
        <w:ind w:left="720" w:hanging="360"/>
        <w:rPr>
          <w:rFonts w:ascii="Atma Medium" w:cs="Atma Medium" w:eastAsia="Atma Medium" w:hAnsi="Atma Medium"/>
          <w:sz w:val="24"/>
          <w:szCs w:val="24"/>
        </w:rPr>
      </w:pPr>
      <w:r w:rsidDel="00000000" w:rsidR="00000000" w:rsidRPr="00000000">
        <w:rPr>
          <w:rFonts w:ascii="Atma Medium" w:cs="Atma Medium" w:eastAsia="Atma Medium" w:hAnsi="Atma Medium"/>
          <w:sz w:val="24"/>
          <w:szCs w:val="24"/>
          <w:rtl w:val="0"/>
        </w:rPr>
        <w:t xml:space="preserve">Elective teachers, auxiliary staff, ICs, etc. </w:t>
      </w:r>
    </w:p>
    <w:p w:rsidR="00000000" w:rsidDel="00000000" w:rsidP="00000000" w:rsidRDefault="00000000" w:rsidRPr="00000000" w14:paraId="00000006">
      <w:pPr>
        <w:rPr>
          <w:rFonts w:ascii="Atma Medium" w:cs="Atma Medium" w:eastAsia="Atma Medium" w:hAnsi="Atma Medium"/>
          <w:sz w:val="24"/>
          <w:szCs w:val="24"/>
        </w:rPr>
      </w:pPr>
      <w:r w:rsidDel="00000000" w:rsidR="00000000" w:rsidRPr="00000000">
        <w:rPr>
          <w:rtl w:val="0"/>
        </w:rPr>
      </w:r>
    </w:p>
    <w:p w:rsidR="00000000" w:rsidDel="00000000" w:rsidP="00000000" w:rsidRDefault="00000000" w:rsidRPr="00000000" w14:paraId="00000007">
      <w:pPr>
        <w:rPr>
          <w:rFonts w:ascii="Atma Medium" w:cs="Atma Medium" w:eastAsia="Atma Medium" w:hAnsi="Atma Medium"/>
          <w:sz w:val="24"/>
          <w:szCs w:val="24"/>
        </w:rPr>
      </w:pPr>
      <w:r w:rsidDel="00000000" w:rsidR="00000000" w:rsidRPr="00000000">
        <w:rPr>
          <w:rFonts w:ascii="Atma Medium" w:cs="Atma Medium" w:eastAsia="Atma Medium" w:hAnsi="Atma Medium"/>
          <w:sz w:val="24"/>
          <w:szCs w:val="24"/>
          <w:rtl w:val="0"/>
        </w:rPr>
        <w:t xml:space="preserve">Process: </w:t>
      </w:r>
    </w:p>
    <w:p w:rsidR="00000000" w:rsidDel="00000000" w:rsidP="00000000" w:rsidRDefault="00000000" w:rsidRPr="00000000" w14:paraId="00000008">
      <w:pPr>
        <w:numPr>
          <w:ilvl w:val="0"/>
          <w:numId w:val="4"/>
        </w:numPr>
        <w:ind w:left="720" w:hanging="360"/>
        <w:rPr>
          <w:rFonts w:ascii="Atma Medium" w:cs="Atma Medium" w:eastAsia="Atma Medium" w:hAnsi="Atma Medium"/>
          <w:sz w:val="24"/>
          <w:szCs w:val="24"/>
        </w:rPr>
      </w:pPr>
      <w:r w:rsidDel="00000000" w:rsidR="00000000" w:rsidRPr="00000000">
        <w:rPr>
          <w:rFonts w:ascii="Atma Medium" w:cs="Atma Medium" w:eastAsia="Atma Medium" w:hAnsi="Atma Medium"/>
          <w:sz w:val="24"/>
          <w:szCs w:val="24"/>
          <w:rtl w:val="0"/>
        </w:rPr>
        <w:t xml:space="preserve">Teachers will be given a list of students and they will choose 3 that they will have regular check-ins with throughout the year. Students will be drafted once and will be assigned to that teacher for the entire year.  (It may not be someone in your class, but it should be a student you have a relationship/rapport with.) </w:t>
      </w:r>
    </w:p>
    <w:p w:rsidR="00000000" w:rsidDel="00000000" w:rsidP="00000000" w:rsidRDefault="00000000" w:rsidRPr="00000000" w14:paraId="00000009">
      <w:pPr>
        <w:rPr>
          <w:rFonts w:ascii="Atma Medium" w:cs="Atma Medium" w:eastAsia="Atma Medium" w:hAnsi="Atma Medium"/>
          <w:sz w:val="24"/>
          <w:szCs w:val="24"/>
        </w:rPr>
      </w:pPr>
      <w:r w:rsidDel="00000000" w:rsidR="00000000" w:rsidRPr="00000000">
        <w:rPr>
          <w:rFonts w:ascii="Atma Medium" w:cs="Atma Medium" w:eastAsia="Atma Medium" w:hAnsi="Atma Medium"/>
          <w:sz w:val="24"/>
          <w:szCs w:val="24"/>
          <w:rtl w:val="0"/>
        </w:rPr>
        <w:t xml:space="preserve">How:</w:t>
      </w:r>
    </w:p>
    <w:p w:rsidR="00000000" w:rsidDel="00000000" w:rsidP="00000000" w:rsidRDefault="00000000" w:rsidRPr="00000000" w14:paraId="0000000A">
      <w:pPr>
        <w:numPr>
          <w:ilvl w:val="0"/>
          <w:numId w:val="3"/>
        </w:numPr>
        <w:ind w:left="720" w:hanging="360"/>
        <w:rPr>
          <w:rFonts w:ascii="Atma Medium" w:cs="Atma Medium" w:eastAsia="Atma Medium" w:hAnsi="Atma Medium"/>
          <w:sz w:val="24"/>
          <w:szCs w:val="24"/>
        </w:rPr>
      </w:pPr>
      <w:r w:rsidDel="00000000" w:rsidR="00000000" w:rsidRPr="00000000">
        <w:rPr>
          <w:rFonts w:ascii="Atma Medium" w:cs="Atma Medium" w:eastAsia="Atma Medium" w:hAnsi="Atma Medium"/>
          <w:sz w:val="24"/>
          <w:szCs w:val="24"/>
          <w:rtl w:val="0"/>
        </w:rPr>
        <w:t xml:space="preserve">Teachers will have a short “check in data chat” meeting with each of their drafted students every month. This can be during a student’s lunch, before or after school, during small group instruction, etc. </w:t>
      </w:r>
    </w:p>
    <w:p w:rsidR="00000000" w:rsidDel="00000000" w:rsidP="00000000" w:rsidRDefault="00000000" w:rsidRPr="00000000" w14:paraId="0000000B">
      <w:pPr>
        <w:numPr>
          <w:ilvl w:val="0"/>
          <w:numId w:val="3"/>
        </w:numPr>
        <w:ind w:left="720" w:hanging="360"/>
        <w:rPr>
          <w:rFonts w:ascii="Atma Medium" w:cs="Atma Medium" w:eastAsia="Atma Medium" w:hAnsi="Atma Medium"/>
          <w:sz w:val="24"/>
          <w:szCs w:val="24"/>
        </w:rPr>
      </w:pPr>
      <w:r w:rsidDel="00000000" w:rsidR="00000000" w:rsidRPr="00000000">
        <w:rPr>
          <w:rFonts w:ascii="Atma Medium" w:cs="Atma Medium" w:eastAsia="Atma Medium" w:hAnsi="Atma Medium"/>
          <w:sz w:val="24"/>
          <w:szCs w:val="24"/>
          <w:rtl w:val="0"/>
        </w:rPr>
        <w:t xml:space="preserve">Teachers will have data conversations with students regarding their academic goals, their progress towards those goals, their attendance, their emotional well being, etc. </w:t>
      </w:r>
    </w:p>
    <w:p w:rsidR="00000000" w:rsidDel="00000000" w:rsidP="00000000" w:rsidRDefault="00000000" w:rsidRPr="00000000" w14:paraId="0000000C">
      <w:pPr>
        <w:numPr>
          <w:ilvl w:val="0"/>
          <w:numId w:val="3"/>
        </w:numPr>
        <w:ind w:left="720" w:hanging="360"/>
        <w:rPr>
          <w:rFonts w:ascii="Atma Medium" w:cs="Atma Medium" w:eastAsia="Atma Medium" w:hAnsi="Atma Medium"/>
          <w:sz w:val="24"/>
          <w:szCs w:val="24"/>
        </w:rPr>
      </w:pPr>
      <w:r w:rsidDel="00000000" w:rsidR="00000000" w:rsidRPr="00000000">
        <w:rPr>
          <w:rFonts w:ascii="Atma Medium" w:cs="Atma Medium" w:eastAsia="Atma Medium" w:hAnsi="Atma Medium"/>
          <w:sz w:val="24"/>
          <w:szCs w:val="24"/>
          <w:rtl w:val="0"/>
        </w:rPr>
        <w:t xml:space="preserve">Teachers will receive a goal sheet with all academic goals listed (built and populated by the ICs). On the back of this sheet there will be a documentation log so teachers  can document their conversations and student progress. </w:t>
      </w:r>
    </w:p>
    <w:p w:rsidR="00000000" w:rsidDel="00000000" w:rsidP="00000000" w:rsidRDefault="00000000" w:rsidRPr="00000000" w14:paraId="0000000D">
      <w:pPr>
        <w:numPr>
          <w:ilvl w:val="0"/>
          <w:numId w:val="3"/>
        </w:numPr>
        <w:ind w:left="720" w:hanging="360"/>
        <w:rPr>
          <w:rFonts w:ascii="Atma Medium" w:cs="Atma Medium" w:eastAsia="Atma Medium" w:hAnsi="Atma Medium"/>
          <w:sz w:val="24"/>
          <w:szCs w:val="24"/>
        </w:rPr>
      </w:pPr>
      <w:r w:rsidDel="00000000" w:rsidR="00000000" w:rsidRPr="00000000">
        <w:rPr>
          <w:rFonts w:ascii="Atma Medium" w:cs="Atma Medium" w:eastAsia="Atma Medium" w:hAnsi="Atma Medium"/>
          <w:sz w:val="24"/>
          <w:szCs w:val="24"/>
          <w:rtl w:val="0"/>
        </w:rPr>
        <w:t xml:space="preserve">Teachers will bring their student goal sheets/documentation log to the first faculty meeting of each month and will share about student progress. </w:t>
      </w:r>
    </w:p>
    <w:p w:rsidR="00000000" w:rsidDel="00000000" w:rsidP="00000000" w:rsidRDefault="00000000" w:rsidRPr="00000000" w14:paraId="0000000E">
      <w:pPr>
        <w:numPr>
          <w:ilvl w:val="0"/>
          <w:numId w:val="3"/>
        </w:numPr>
        <w:ind w:left="720" w:hanging="360"/>
        <w:rPr>
          <w:rFonts w:ascii="Atma Medium" w:cs="Atma Medium" w:eastAsia="Atma Medium" w:hAnsi="Atma Medium"/>
          <w:sz w:val="24"/>
          <w:szCs w:val="24"/>
        </w:rPr>
      </w:pPr>
      <w:r w:rsidDel="00000000" w:rsidR="00000000" w:rsidRPr="00000000">
        <w:rPr>
          <w:rFonts w:ascii="Atma Medium" w:cs="Atma Medium" w:eastAsia="Atma Medium" w:hAnsi="Atma Medium"/>
          <w:sz w:val="24"/>
          <w:szCs w:val="24"/>
          <w:rtl w:val="0"/>
        </w:rPr>
        <w:t xml:space="preserve">Teachers who draft students that they have in class will have access to their most current summatives, etc. If a teacher drafts a student not on their roster will have a monthly Data Share Meeting (after school or during Friday PD) where they can get the most up to date information. </w:t>
      </w:r>
      <w:r w:rsidDel="00000000" w:rsidR="00000000" w:rsidRPr="00000000">
        <w:rPr>
          <w:rtl w:val="0"/>
        </w:rPr>
      </w:r>
    </w:p>
    <w:tbl>
      <w:tblPr>
        <w:tblStyle w:val="Table1"/>
        <w:tblW w:w="10965.0" w:type="dxa"/>
        <w:jc w:val="left"/>
        <w:tblInd w:w="-9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5370"/>
        <w:tblGridChange w:id="0">
          <w:tblGrid>
            <w:gridCol w:w="5595"/>
            <w:gridCol w:w="5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tma SemiBold" w:cs="Atma SemiBold" w:eastAsia="Atma SemiBold" w:hAnsi="Atma SemiBold"/>
                <w:sz w:val="28"/>
                <w:szCs w:val="28"/>
              </w:rPr>
            </w:pPr>
            <w:r w:rsidDel="00000000" w:rsidR="00000000" w:rsidRPr="00000000">
              <w:rPr>
                <w:rFonts w:ascii="Atma SemiBold" w:cs="Atma SemiBold" w:eastAsia="Atma SemiBold" w:hAnsi="Atma SemiBold"/>
                <w:sz w:val="28"/>
                <w:szCs w:val="28"/>
                <w:rtl w:val="0"/>
              </w:rPr>
              <w:t xml:space="preserve">Math                 (Teacher: _____________)</w:t>
            </w:r>
          </w:p>
          <w:tbl>
            <w:tblPr>
              <w:tblStyle w:val="Table2"/>
              <w:tblW w:w="53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7.5"/>
              <w:gridCol w:w="2697.5"/>
              <w:tblGridChange w:id="0">
                <w:tblGrid>
                  <w:gridCol w:w="2697.5"/>
                  <w:gridCol w:w="269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Previous Year STAAR Raw Score: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Current Year STAAR Raw Score Goal: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Previous Year STAAR Percent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Current Year STAAR Percent Score Goal: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Threshold: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Threshold Goal: </w:t>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ma" w:cs="Atma" w:eastAsia="Atma" w:hAnsi="Atma"/>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ma" w:cs="Atma" w:eastAsia="Atma" w:hAnsi="Atma"/>
                <w:sz w:val="28"/>
                <w:szCs w:val="28"/>
              </w:rPr>
            </w:pPr>
            <w:r w:rsidDel="00000000" w:rsidR="00000000" w:rsidRPr="00000000">
              <w:rPr>
                <w:rFonts w:ascii="Atma" w:cs="Atma" w:eastAsia="Atma" w:hAnsi="Atma"/>
                <w:sz w:val="28"/>
                <w:szCs w:val="28"/>
                <w:rtl w:val="0"/>
              </w:rPr>
              <w:t xml:space="preserve">Unit 1 Summative: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ma" w:cs="Atma" w:eastAsia="Atma" w:hAnsi="Atma"/>
                <w:sz w:val="28"/>
                <w:szCs w:val="28"/>
              </w:rPr>
            </w:pPr>
            <w:r w:rsidDel="00000000" w:rsidR="00000000" w:rsidRPr="00000000">
              <w:rPr>
                <w:rFonts w:ascii="Atma" w:cs="Atma" w:eastAsia="Atma" w:hAnsi="Atma"/>
                <w:sz w:val="28"/>
                <w:szCs w:val="28"/>
                <w:rtl w:val="0"/>
              </w:rPr>
              <w:t xml:space="preserve">Unit 2 Summative: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ma" w:cs="Atma" w:eastAsia="Atma" w:hAnsi="Atma"/>
                <w:sz w:val="28"/>
                <w:szCs w:val="28"/>
              </w:rPr>
            </w:pPr>
            <w:r w:rsidDel="00000000" w:rsidR="00000000" w:rsidRPr="00000000">
              <w:rPr>
                <w:rFonts w:ascii="Atma" w:cs="Atma" w:eastAsia="Atma" w:hAnsi="Atma"/>
                <w:sz w:val="28"/>
                <w:szCs w:val="28"/>
                <w:rtl w:val="0"/>
              </w:rPr>
              <w:t xml:space="preserve">Unit 3 Summative: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ma" w:cs="Atma" w:eastAsia="Atma" w:hAnsi="Atma"/>
                <w:sz w:val="28"/>
                <w:szCs w:val="28"/>
              </w:rPr>
            </w:pPr>
            <w:r w:rsidDel="00000000" w:rsidR="00000000" w:rsidRPr="00000000">
              <w:rPr>
                <w:rFonts w:ascii="Atma" w:cs="Atma" w:eastAsia="Atma" w:hAnsi="Atma"/>
                <w:sz w:val="28"/>
                <w:szCs w:val="28"/>
                <w:rtl w:val="0"/>
              </w:rPr>
              <w:t xml:space="preserve">Unit 4 Summative: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ma" w:cs="Atma" w:eastAsia="Atma" w:hAnsi="Atma"/>
                <w:sz w:val="28"/>
                <w:szCs w:val="28"/>
              </w:rPr>
            </w:pPr>
            <w:r w:rsidDel="00000000" w:rsidR="00000000" w:rsidRPr="00000000">
              <w:rPr>
                <w:rFonts w:ascii="Atma" w:cs="Atma" w:eastAsia="Atma" w:hAnsi="Atma"/>
                <w:sz w:val="28"/>
                <w:szCs w:val="28"/>
                <w:rtl w:val="0"/>
              </w:rPr>
              <w:t xml:space="preserve">Unit 5 Summative: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ma" w:cs="Atma" w:eastAsia="Atma" w:hAnsi="Atma"/>
                <w:sz w:val="28"/>
                <w:szCs w:val="28"/>
              </w:rPr>
            </w:pPr>
            <w:r w:rsidDel="00000000" w:rsidR="00000000" w:rsidRPr="00000000">
              <w:rPr>
                <w:rFonts w:ascii="Atma" w:cs="Atma" w:eastAsia="Atma" w:hAnsi="Atma"/>
                <w:sz w:val="28"/>
                <w:szCs w:val="28"/>
                <w:rtl w:val="0"/>
              </w:rPr>
              <w:t xml:space="preserve">Unit 6 Summative: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ma" w:cs="Atma" w:eastAsia="Atma" w:hAnsi="Atma"/>
                <w:sz w:val="28"/>
                <w:szCs w:val="28"/>
              </w:rPr>
            </w:pPr>
            <w:r w:rsidDel="00000000" w:rsidR="00000000" w:rsidRPr="00000000">
              <w:rPr>
                <w:rFonts w:ascii="Atma" w:cs="Atma" w:eastAsia="Atma" w:hAnsi="Atma"/>
                <w:sz w:val="28"/>
                <w:szCs w:val="28"/>
                <w:rtl w:val="0"/>
              </w:rPr>
              <w:t xml:space="preserve">Unit 7 Summative: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ma" w:cs="Atma" w:eastAsia="Atma" w:hAnsi="Atma"/>
                <w:sz w:val="28"/>
                <w:szCs w:val="28"/>
              </w:rPr>
            </w:pPr>
            <w:r w:rsidDel="00000000" w:rsidR="00000000" w:rsidRPr="00000000">
              <w:rPr>
                <w:rFonts w:ascii="Atma" w:cs="Atma" w:eastAsia="Atma" w:hAnsi="Atma"/>
                <w:sz w:val="28"/>
                <w:szCs w:val="28"/>
                <w:rtl w:val="0"/>
              </w:rPr>
              <w:t xml:space="preserve">Unit 8 Summative: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ma" w:cs="Atma" w:eastAsia="Atma" w:hAnsi="Atma"/>
                <w:sz w:val="28"/>
                <w:szCs w:val="28"/>
              </w:rPr>
            </w:pPr>
            <w:r w:rsidDel="00000000" w:rsidR="00000000" w:rsidRPr="00000000">
              <w:rPr>
                <w:rFonts w:ascii="Atma" w:cs="Atma" w:eastAsia="Atma" w:hAnsi="Atma"/>
                <w:sz w:val="28"/>
                <w:szCs w:val="28"/>
                <w:rtl w:val="0"/>
              </w:rPr>
              <w:t xml:space="preserve">Unit 9 Summative: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ma" w:cs="Atma" w:eastAsia="Atma" w:hAnsi="Atma"/>
                <w:sz w:val="28"/>
                <w:szCs w:val="28"/>
              </w:rPr>
            </w:pPr>
            <w:r w:rsidDel="00000000" w:rsidR="00000000" w:rsidRPr="00000000">
              <w:rPr>
                <w:rFonts w:ascii="Atma" w:cs="Atma" w:eastAsia="Atma" w:hAnsi="Atma"/>
                <w:sz w:val="28"/>
                <w:szCs w:val="28"/>
                <w:rtl w:val="0"/>
              </w:rPr>
              <w:t xml:space="preserve">Unit 10 Summative:</w:t>
            </w:r>
          </w:p>
          <w:tbl>
            <w:tblPr>
              <w:tblStyle w:val="Table3"/>
              <w:tblW w:w="53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7.5"/>
              <w:gridCol w:w="2697.5"/>
              <w:tblGridChange w:id="0">
                <w:tblGrid>
                  <w:gridCol w:w="2697.5"/>
                  <w:gridCol w:w="269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Fall Benchmark Raw Score: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Spring Benchmark Raw Score: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Fall Benchmark Percent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Spring Benchmark Percent Score: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Threshold: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Threshold: </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Atma SemiBold" w:cs="Atma SemiBold" w:eastAsia="Atma SemiBold" w:hAnsi="Atma SemiBold"/>
                <w:sz w:val="28"/>
                <w:szCs w:val="28"/>
              </w:rPr>
            </w:pPr>
            <w:r w:rsidDel="00000000" w:rsidR="00000000" w:rsidRPr="00000000">
              <w:rPr>
                <w:rFonts w:ascii="Atma SemiBold" w:cs="Atma SemiBold" w:eastAsia="Atma SemiBold" w:hAnsi="Atma SemiBold"/>
                <w:sz w:val="28"/>
                <w:szCs w:val="28"/>
                <w:rtl w:val="0"/>
              </w:rPr>
              <w:t xml:space="preserve">RLA                (Teacher: _____________)</w:t>
            </w:r>
          </w:p>
          <w:tbl>
            <w:tblPr>
              <w:tblStyle w:val="Table4"/>
              <w:tblW w:w="51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5"/>
              <w:gridCol w:w="2585"/>
              <w:tblGridChange w:id="0">
                <w:tblGrid>
                  <w:gridCol w:w="2585"/>
                  <w:gridCol w:w="25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Previous Year STAAR Raw Score: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Current Year STAAR Raw Score Goal: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Previous Year STAAR Percent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Current Year STAAR Percent Score Goal: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Threshold: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Threshold Goal: </w:t>
                  </w:r>
                </w:p>
              </w:tc>
            </w:tr>
          </w:tbl>
          <w:p w:rsidR="00000000" w:rsidDel="00000000" w:rsidP="00000000" w:rsidRDefault="00000000" w:rsidRPr="00000000" w14:paraId="0000002F">
            <w:pPr>
              <w:widowControl w:val="0"/>
              <w:spacing w:line="240" w:lineRule="auto"/>
              <w:rPr>
                <w:rFonts w:ascii="Atma" w:cs="Atma" w:eastAsia="Atma" w:hAnsi="Atma"/>
                <w:sz w:val="28"/>
                <w:szCs w:val="28"/>
              </w:rPr>
            </w:pPr>
            <w:r w:rsidDel="00000000" w:rsidR="00000000" w:rsidRPr="00000000">
              <w:rPr>
                <w:rtl w:val="0"/>
              </w:rPr>
            </w:r>
          </w:p>
          <w:p w:rsidR="00000000" w:rsidDel="00000000" w:rsidP="00000000" w:rsidRDefault="00000000" w:rsidRPr="00000000" w14:paraId="00000030">
            <w:pPr>
              <w:widowControl w:val="0"/>
              <w:rPr>
                <w:rFonts w:ascii="Atma" w:cs="Atma" w:eastAsia="Atma" w:hAnsi="Atma"/>
                <w:sz w:val="28"/>
                <w:szCs w:val="28"/>
              </w:rPr>
            </w:pPr>
            <w:r w:rsidDel="00000000" w:rsidR="00000000" w:rsidRPr="00000000">
              <w:rPr>
                <w:rFonts w:ascii="Atma" w:cs="Atma" w:eastAsia="Atma" w:hAnsi="Atma"/>
                <w:sz w:val="28"/>
                <w:szCs w:val="28"/>
                <w:rtl w:val="0"/>
              </w:rPr>
              <w:t xml:space="preserve">Unit 1 Summative:</w:t>
            </w:r>
          </w:p>
          <w:p w:rsidR="00000000" w:rsidDel="00000000" w:rsidP="00000000" w:rsidRDefault="00000000" w:rsidRPr="00000000" w14:paraId="00000031">
            <w:pPr>
              <w:widowControl w:val="0"/>
              <w:rPr>
                <w:rFonts w:ascii="Atma" w:cs="Atma" w:eastAsia="Atma" w:hAnsi="Atma"/>
                <w:sz w:val="28"/>
                <w:szCs w:val="28"/>
              </w:rPr>
            </w:pPr>
            <w:r w:rsidDel="00000000" w:rsidR="00000000" w:rsidRPr="00000000">
              <w:rPr>
                <w:rFonts w:ascii="Atma" w:cs="Atma" w:eastAsia="Atma" w:hAnsi="Atma"/>
                <w:sz w:val="28"/>
                <w:szCs w:val="28"/>
                <w:rtl w:val="0"/>
              </w:rPr>
              <w:t xml:space="preserve">Unit 2 Summative: </w:t>
            </w:r>
          </w:p>
          <w:p w:rsidR="00000000" w:rsidDel="00000000" w:rsidP="00000000" w:rsidRDefault="00000000" w:rsidRPr="00000000" w14:paraId="00000032">
            <w:pPr>
              <w:widowControl w:val="0"/>
              <w:rPr>
                <w:rFonts w:ascii="Atma" w:cs="Atma" w:eastAsia="Atma" w:hAnsi="Atma"/>
                <w:sz w:val="28"/>
                <w:szCs w:val="28"/>
              </w:rPr>
            </w:pPr>
            <w:r w:rsidDel="00000000" w:rsidR="00000000" w:rsidRPr="00000000">
              <w:rPr>
                <w:rFonts w:ascii="Atma" w:cs="Atma" w:eastAsia="Atma" w:hAnsi="Atma"/>
                <w:sz w:val="28"/>
                <w:szCs w:val="28"/>
                <w:rtl w:val="0"/>
              </w:rPr>
              <w:t xml:space="preserve">Unit 3 Summative:</w:t>
            </w:r>
          </w:p>
          <w:p w:rsidR="00000000" w:rsidDel="00000000" w:rsidP="00000000" w:rsidRDefault="00000000" w:rsidRPr="00000000" w14:paraId="00000033">
            <w:pPr>
              <w:widowControl w:val="0"/>
              <w:rPr>
                <w:rFonts w:ascii="Atma" w:cs="Atma" w:eastAsia="Atma" w:hAnsi="Atma"/>
                <w:sz w:val="28"/>
                <w:szCs w:val="28"/>
              </w:rPr>
            </w:pPr>
            <w:r w:rsidDel="00000000" w:rsidR="00000000" w:rsidRPr="00000000">
              <w:rPr>
                <w:rFonts w:ascii="Atma" w:cs="Atma" w:eastAsia="Atma" w:hAnsi="Atma"/>
                <w:sz w:val="28"/>
                <w:szCs w:val="28"/>
                <w:rtl w:val="0"/>
              </w:rPr>
              <w:t xml:space="preserve">Unit 4 Summative:</w:t>
            </w:r>
          </w:p>
          <w:p w:rsidR="00000000" w:rsidDel="00000000" w:rsidP="00000000" w:rsidRDefault="00000000" w:rsidRPr="00000000" w14:paraId="00000034">
            <w:pPr>
              <w:widowControl w:val="0"/>
              <w:rPr>
                <w:rFonts w:ascii="Atma" w:cs="Atma" w:eastAsia="Atma" w:hAnsi="Atma"/>
                <w:sz w:val="28"/>
                <w:szCs w:val="28"/>
              </w:rPr>
            </w:pPr>
            <w:r w:rsidDel="00000000" w:rsidR="00000000" w:rsidRPr="00000000">
              <w:rPr>
                <w:rFonts w:ascii="Atma" w:cs="Atma" w:eastAsia="Atma" w:hAnsi="Atma"/>
                <w:sz w:val="28"/>
                <w:szCs w:val="28"/>
                <w:rtl w:val="0"/>
              </w:rPr>
              <w:t xml:space="preserve">Unit 5 Summative:</w:t>
            </w:r>
          </w:p>
          <w:p w:rsidR="00000000" w:rsidDel="00000000" w:rsidP="00000000" w:rsidRDefault="00000000" w:rsidRPr="00000000" w14:paraId="00000035">
            <w:pPr>
              <w:widowControl w:val="0"/>
              <w:rPr>
                <w:rFonts w:ascii="Atma" w:cs="Atma" w:eastAsia="Atma" w:hAnsi="Atma"/>
                <w:sz w:val="28"/>
                <w:szCs w:val="28"/>
              </w:rPr>
            </w:pPr>
            <w:r w:rsidDel="00000000" w:rsidR="00000000" w:rsidRPr="00000000">
              <w:rPr>
                <w:rFonts w:ascii="Atma" w:cs="Atma" w:eastAsia="Atma" w:hAnsi="Atma"/>
                <w:sz w:val="28"/>
                <w:szCs w:val="28"/>
                <w:rtl w:val="0"/>
              </w:rPr>
              <w:t xml:space="preserve">Unit 6 Summative: </w:t>
            </w:r>
          </w:p>
          <w:p w:rsidR="00000000" w:rsidDel="00000000" w:rsidP="00000000" w:rsidRDefault="00000000" w:rsidRPr="00000000" w14:paraId="00000036">
            <w:pPr>
              <w:widowControl w:val="0"/>
              <w:rPr>
                <w:rFonts w:ascii="Atma" w:cs="Atma" w:eastAsia="Atma" w:hAnsi="Atma"/>
                <w:sz w:val="28"/>
                <w:szCs w:val="28"/>
              </w:rPr>
            </w:pPr>
            <w:r w:rsidDel="00000000" w:rsidR="00000000" w:rsidRPr="00000000">
              <w:rPr>
                <w:rFonts w:ascii="Atma" w:cs="Atma" w:eastAsia="Atma" w:hAnsi="Atma"/>
                <w:sz w:val="28"/>
                <w:szCs w:val="28"/>
                <w:rtl w:val="0"/>
              </w:rPr>
              <w:t xml:space="preserve">Unit 7 Summative: </w:t>
            </w:r>
          </w:p>
          <w:p w:rsidR="00000000" w:rsidDel="00000000" w:rsidP="00000000" w:rsidRDefault="00000000" w:rsidRPr="00000000" w14:paraId="00000037">
            <w:pPr>
              <w:widowControl w:val="0"/>
              <w:rPr>
                <w:rFonts w:ascii="Atma" w:cs="Atma" w:eastAsia="Atma" w:hAnsi="Atma"/>
                <w:sz w:val="28"/>
                <w:szCs w:val="28"/>
              </w:rPr>
            </w:pPr>
            <w:r w:rsidDel="00000000" w:rsidR="00000000" w:rsidRPr="00000000">
              <w:rPr>
                <w:rFonts w:ascii="Atma" w:cs="Atma" w:eastAsia="Atma" w:hAnsi="Atma"/>
                <w:sz w:val="28"/>
                <w:szCs w:val="28"/>
                <w:rtl w:val="0"/>
              </w:rPr>
              <w:t xml:space="preserve">Unit 8 Summative:  </w:t>
            </w:r>
          </w:p>
          <w:p w:rsidR="00000000" w:rsidDel="00000000" w:rsidP="00000000" w:rsidRDefault="00000000" w:rsidRPr="00000000" w14:paraId="00000038">
            <w:pPr>
              <w:widowControl w:val="0"/>
              <w:rPr>
                <w:rFonts w:ascii="Atma" w:cs="Atma" w:eastAsia="Atma" w:hAnsi="Atma"/>
                <w:sz w:val="28"/>
                <w:szCs w:val="28"/>
              </w:rPr>
            </w:pPr>
            <w:r w:rsidDel="00000000" w:rsidR="00000000" w:rsidRPr="00000000">
              <w:rPr>
                <w:rFonts w:ascii="Atma" w:cs="Atma" w:eastAsia="Atma" w:hAnsi="Atma"/>
                <w:sz w:val="28"/>
                <w:szCs w:val="28"/>
                <w:rtl w:val="0"/>
              </w:rPr>
              <w:t xml:space="preserve">Unit 9 Summative: </w:t>
            </w:r>
          </w:p>
          <w:p w:rsidR="00000000" w:rsidDel="00000000" w:rsidP="00000000" w:rsidRDefault="00000000" w:rsidRPr="00000000" w14:paraId="00000039">
            <w:pPr>
              <w:widowControl w:val="0"/>
              <w:rPr>
                <w:rFonts w:ascii="Atma" w:cs="Atma" w:eastAsia="Atma" w:hAnsi="Atma"/>
                <w:sz w:val="28"/>
                <w:szCs w:val="28"/>
              </w:rPr>
            </w:pPr>
            <w:r w:rsidDel="00000000" w:rsidR="00000000" w:rsidRPr="00000000">
              <w:rPr>
                <w:rFonts w:ascii="Atma" w:cs="Atma" w:eastAsia="Atma" w:hAnsi="Atma"/>
                <w:sz w:val="28"/>
                <w:szCs w:val="28"/>
                <w:rtl w:val="0"/>
              </w:rPr>
              <w:t xml:space="preserve">Unit 10 Summative:</w:t>
            </w:r>
          </w:p>
          <w:tbl>
            <w:tblPr>
              <w:tblStyle w:val="Table5"/>
              <w:tblW w:w="51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5"/>
              <w:gridCol w:w="2585"/>
              <w:tblGridChange w:id="0">
                <w:tblGrid>
                  <w:gridCol w:w="2585"/>
                  <w:gridCol w:w="25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Fall Benchmark Raw Score: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Spring Benchmark Raw Score: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Fall Benchmark Percent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Spring Benchmark Percent Score: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Threshold: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Atma" w:cs="Atma" w:eastAsia="Atma" w:hAnsi="Atma"/>
                      <w:sz w:val="28"/>
                      <w:szCs w:val="28"/>
                    </w:rPr>
                  </w:pPr>
                  <w:r w:rsidDel="00000000" w:rsidR="00000000" w:rsidRPr="00000000">
                    <w:rPr>
                      <w:rFonts w:ascii="Atma" w:cs="Atma" w:eastAsia="Atma" w:hAnsi="Atma"/>
                      <w:sz w:val="28"/>
                      <w:szCs w:val="28"/>
                      <w:rtl w:val="0"/>
                    </w:rPr>
                    <w:t xml:space="preserve">Threshold: </w:t>
                  </w:r>
                </w:p>
              </w:tc>
            </w:tr>
          </w:tbl>
          <w:p w:rsidR="00000000" w:rsidDel="00000000" w:rsidP="00000000" w:rsidRDefault="00000000" w:rsidRPr="00000000" w14:paraId="00000040">
            <w:pPr>
              <w:widowControl w:val="0"/>
              <w:spacing w:line="240" w:lineRule="auto"/>
              <w:rPr>
                <w:rFonts w:ascii="Atma SemiBold" w:cs="Atma SemiBold" w:eastAsia="Atma SemiBold" w:hAnsi="Atma SemiBold"/>
                <w:sz w:val="28"/>
                <w:szCs w:val="28"/>
              </w:rPr>
            </w:pPr>
            <w:r w:rsidDel="00000000" w:rsidR="00000000" w:rsidRPr="00000000">
              <w:rPr>
                <w:rtl w:val="0"/>
              </w:rPr>
            </w:r>
          </w:p>
        </w:tc>
      </w:tr>
    </w:tbl>
    <w:p w:rsidR="00000000" w:rsidDel="00000000" w:rsidP="00000000" w:rsidRDefault="00000000" w:rsidRPr="00000000" w14:paraId="00000041">
      <w:pPr>
        <w:rPr>
          <w:rFonts w:ascii="Atma SemiBold" w:cs="Atma SemiBold" w:eastAsia="Atma SemiBold" w:hAnsi="Atma SemiBold"/>
          <w:sz w:val="24"/>
          <w:szCs w:val="24"/>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2835"/>
        <w:gridCol w:w="5265"/>
        <w:tblGridChange w:id="0">
          <w:tblGrid>
            <w:gridCol w:w="1260"/>
            <w:gridCol w:w="2835"/>
            <w:gridCol w:w="5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Fonts w:ascii="Atma SemiBold" w:cs="Atma SemiBold" w:eastAsia="Atma SemiBold" w:hAnsi="Atma SemiBold"/>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Fonts w:ascii="Atma SemiBold" w:cs="Atma SemiBold" w:eastAsia="Atma SemiBold" w:hAnsi="Atma SemiBold"/>
                <w:sz w:val="24"/>
                <w:szCs w:val="24"/>
                <w:rtl w:val="0"/>
              </w:rPr>
              <w:t xml:space="preserve">Celebration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Fonts w:ascii="Atma SemiBold" w:cs="Atma SemiBold" w:eastAsia="Atma SemiBold" w:hAnsi="Atma SemiBold"/>
                <w:sz w:val="24"/>
                <w:szCs w:val="24"/>
                <w:rtl w:val="0"/>
              </w:rPr>
              <w:t xml:space="preserve">Additional 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tma SemiBold" w:cs="Atma SemiBold" w:eastAsia="Atma SemiBold" w:hAnsi="Atma SemiBold"/>
                <w:sz w:val="24"/>
                <w:szCs w:val="24"/>
              </w:rPr>
            </w:pPr>
            <w:r w:rsidDel="00000000" w:rsidR="00000000" w:rsidRPr="00000000">
              <w:rPr>
                <w:rtl w:val="0"/>
              </w:rPr>
            </w:r>
          </w:p>
        </w:tc>
      </w:tr>
    </w:tbl>
    <w:p w:rsidR="00000000" w:rsidDel="00000000" w:rsidP="00000000" w:rsidRDefault="00000000" w:rsidRPr="00000000" w14:paraId="0000006D">
      <w:pPr>
        <w:rPr>
          <w:rFonts w:ascii="Atma SemiBold" w:cs="Atma SemiBold" w:eastAsia="Atma SemiBold" w:hAnsi="Atma SemiBold"/>
          <w:sz w:val="24"/>
          <w:szCs w:val="24"/>
        </w:rPr>
      </w:pPr>
      <w:r w:rsidDel="00000000" w:rsidR="00000000" w:rsidRPr="00000000">
        <w:rPr>
          <w:rtl w:val="0"/>
        </w:rPr>
      </w:r>
    </w:p>
    <w:p w:rsidR="00000000" w:rsidDel="00000000" w:rsidP="00000000" w:rsidRDefault="00000000" w:rsidRPr="00000000" w14:paraId="0000006E">
      <w:pPr>
        <w:rPr>
          <w:rFonts w:ascii="Atma SemiBold" w:cs="Atma SemiBold" w:eastAsia="Atma SemiBold" w:hAnsi="Atma SemiBold"/>
          <w:sz w:val="24"/>
          <w:szCs w:val="24"/>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tma Medium">
    <w:embedRegular w:fontKey="{00000000-0000-0000-0000-000000000000}" r:id="rId1" w:subsetted="0"/>
    <w:embedBold w:fontKey="{00000000-0000-0000-0000-000000000000}" r:id="rId2" w:subsetted="0"/>
  </w:font>
  <w:font w:name="Atma">
    <w:embedRegular w:fontKey="{00000000-0000-0000-0000-000000000000}" r:id="rId3" w:subsetted="0"/>
    <w:embedBold w:fontKey="{00000000-0000-0000-0000-000000000000}" r:id="rId4" w:subsetted="0"/>
  </w:font>
  <w:font w:name="Atma SemiBo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center"/>
      <w:rPr>
        <w:rFonts w:ascii="Atma" w:cs="Atma" w:eastAsia="Atma" w:hAnsi="Atma"/>
        <w:b w:val="1"/>
        <w:sz w:val="28"/>
        <w:szCs w:val="28"/>
      </w:rPr>
    </w:pPr>
    <w:r w:rsidDel="00000000" w:rsidR="00000000" w:rsidRPr="00000000">
      <w:rPr>
        <w:rFonts w:ascii="Atma" w:cs="Atma" w:eastAsia="Atma" w:hAnsi="Atma"/>
        <w:b w:val="1"/>
        <w:sz w:val="28"/>
        <w:szCs w:val="28"/>
        <w:rtl w:val="0"/>
      </w:rPr>
      <w:t xml:space="preserve">Student Goal Setting Page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tmaMedium-regular.ttf"/><Relationship Id="rId2" Type="http://schemas.openxmlformats.org/officeDocument/2006/relationships/font" Target="fonts/AtmaMedium-bold.ttf"/><Relationship Id="rId3" Type="http://schemas.openxmlformats.org/officeDocument/2006/relationships/font" Target="fonts/Atma-regular.ttf"/><Relationship Id="rId4" Type="http://schemas.openxmlformats.org/officeDocument/2006/relationships/font" Target="fonts/Atma-bold.ttf"/><Relationship Id="rId5" Type="http://schemas.openxmlformats.org/officeDocument/2006/relationships/font" Target="fonts/AtmaSemiBold-regular.ttf"/><Relationship Id="rId6" Type="http://schemas.openxmlformats.org/officeDocument/2006/relationships/font" Target="fonts/AtmaSemiBo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