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Start w:id="1" w:name="_GoBack"/>
    <w:bookmarkEnd w:id="0"/>
    <w:bookmarkEnd w:id="1"/>
    <w:p w:rsidR="00BA1D97" w:rsidRDefault="00971396">
      <w:pPr>
        <w:tabs>
          <w:tab w:val="left" w:pos="726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-495299</wp:posOffset>
                </wp:positionV>
                <wp:extent cx="3886200" cy="5149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3" y="3527270"/>
                          <a:ext cx="387667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1D97" w:rsidRDefault="009713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52"/>
                              </w:rPr>
                              <w:t>SMART Goal Tree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-495299</wp:posOffset>
                </wp:positionV>
                <wp:extent cx="3886200" cy="514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514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-114299</wp:posOffset>
                </wp:positionV>
                <wp:extent cx="108585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3780000"/>
                          <a:ext cx="1069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-114299</wp:posOffset>
                </wp:positionV>
                <wp:extent cx="108585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2930" w:type="dxa"/>
        <w:tblLayout w:type="fixed"/>
        <w:tblLook w:val="0600" w:firstRow="0" w:lastRow="0" w:firstColumn="0" w:lastColumn="0" w:noHBand="1" w:noVBand="1"/>
      </w:tblPr>
      <w:tblGrid>
        <w:gridCol w:w="2520"/>
        <w:gridCol w:w="540"/>
        <w:gridCol w:w="3195"/>
        <w:gridCol w:w="765"/>
        <w:gridCol w:w="2955"/>
        <w:gridCol w:w="720"/>
        <w:gridCol w:w="2235"/>
      </w:tblGrid>
      <w:tr w:rsidR="00BA1D97">
        <w:tc>
          <w:tcPr>
            <w:tcW w:w="25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9713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>SMART</w:t>
            </w:r>
          </w:p>
          <w:p w:rsidR="00BA1D97" w:rsidRDefault="009713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>GOAL</w:t>
            </w:r>
          </w:p>
          <w:p w:rsidR="00BA1D97" w:rsidRDefault="00971396">
            <w:pPr>
              <w:widowControl w:val="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Strategic for us that will result in significant improvement.</w:t>
            </w:r>
          </w:p>
          <w:p w:rsidR="00BA1D97" w:rsidRDefault="00971396">
            <w:pPr>
              <w:widowControl w:val="0"/>
              <w:jc w:val="center"/>
              <w:rPr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EFFECTS OR FOCUS AREA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</w:tc>
        <w:tc>
          <w:tcPr>
            <w:tcW w:w="31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9713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INDICATORS </w:t>
            </w:r>
          </w:p>
          <w:p w:rsidR="00BA1D97" w:rsidRDefault="00971396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Standard, skill or evidence that comprise, or lead to proficiency, of a Goal</w:t>
            </w:r>
            <w:r>
              <w:rPr>
                <w:rFonts w:ascii="Arial Narrow" w:eastAsia="Arial Narrow" w:hAnsi="Arial Narrow" w:cs="Arial Narrow"/>
                <w:b/>
                <w:color w:val="FFFFFF"/>
              </w:rPr>
              <w:t>.</w:t>
            </w:r>
          </w:p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</w:tc>
        <w:tc>
          <w:tcPr>
            <w:tcW w:w="29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9713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MEASURES</w:t>
            </w:r>
          </w:p>
          <w:p w:rsidR="00BA1D97" w:rsidRDefault="00971396">
            <w:pPr>
              <w:widowControl w:val="0"/>
              <w:jc w:val="center"/>
              <w:rPr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Assessments or tools to gauge progress on the Indicators.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</w:tc>
        <w:tc>
          <w:tcPr>
            <w:tcW w:w="22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9713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TARGETS</w:t>
            </w:r>
          </w:p>
          <w:p w:rsidR="00BA1D97" w:rsidRDefault="00971396">
            <w:pPr>
              <w:widowControl w:val="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Level, score, etc. on the Measures to identify level of improvement.</w:t>
            </w:r>
          </w:p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</w:tc>
      </w:tr>
      <w:tr w:rsidR="00BA1D97">
        <w:trPr>
          <w:trHeight w:val="120"/>
        </w:trPr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12"/>
                <w:szCs w:val="12"/>
              </w:rPr>
            </w:pPr>
          </w:p>
        </w:tc>
        <w:tc>
          <w:tcPr>
            <w:tcW w:w="3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12"/>
                <w:szCs w:val="12"/>
              </w:rPr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12"/>
                <w:szCs w:val="12"/>
              </w:rPr>
            </w:pPr>
          </w:p>
        </w:tc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97" w:rsidRDefault="00BA1D97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</w:p>
        </w:tc>
      </w:tr>
      <w:tr w:rsidR="00BA1D97">
        <w:trPr>
          <w:trHeight w:val="400"/>
        </w:trPr>
        <w:tc>
          <w:tcPr>
            <w:tcW w:w="2520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pPr>
              <w:rPr>
                <w:b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By spring of 2020, 56% of our students will meet or exceed standards in </w:t>
            </w:r>
            <w:proofErr w:type="gramStart"/>
            <w:r>
              <w:rPr>
                <w:rFonts w:ascii="Arial" w:eastAsia="Arial" w:hAnsi="Arial" w:cs="Arial"/>
                <w:b/>
                <w:sz w:val="40"/>
                <w:szCs w:val="40"/>
              </w:rPr>
              <w:t>IAR  ELA</w:t>
            </w:r>
            <w:proofErr w:type="gramEnd"/>
            <w:r>
              <w:rPr>
                <w:rFonts w:ascii="Arial" w:eastAsia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Reading Comprehension - Standards RI/RL 1 and RI/RL 10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F&amp;P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70% of students on level</w:t>
            </w:r>
          </w:p>
        </w:tc>
      </w:tr>
      <w:tr w:rsidR="00BA1D97">
        <w:trPr>
          <w:trHeight w:val="400"/>
        </w:trPr>
        <w:tc>
          <w:tcPr>
            <w:tcW w:w="252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BA1D97">
        <w:trPr>
          <w:trHeight w:val="400"/>
        </w:trPr>
        <w:tc>
          <w:tcPr>
            <w:tcW w:w="252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pPr>
              <w:rPr>
                <w:b/>
              </w:rPr>
            </w:pPr>
            <w:r>
              <w:rPr>
                <w:b/>
              </w:rPr>
              <w:t>RACE/RAP Common Formative Assessment</w:t>
            </w:r>
          </w:p>
        </w:tc>
        <w:tc>
          <w:tcPr>
            <w:tcW w:w="7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- 85% will M/E</w:t>
            </w:r>
          </w:p>
          <w:p w:rsidR="00BA1D97" w:rsidRDefault="009713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- 62% will M/E</w:t>
            </w:r>
          </w:p>
          <w:p w:rsidR="00BA1D97" w:rsidRDefault="009713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 - 65% will M/E</w:t>
            </w:r>
          </w:p>
          <w:p w:rsidR="00BA1D97" w:rsidRDefault="009713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P/E - 40% will M/E</w:t>
            </w:r>
          </w:p>
        </w:tc>
      </w:tr>
      <w:tr w:rsidR="00BA1D97">
        <w:trPr>
          <w:trHeight w:val="400"/>
        </w:trPr>
        <w:tc>
          <w:tcPr>
            <w:tcW w:w="252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A1D97">
        <w:trPr>
          <w:trHeight w:val="440"/>
        </w:trPr>
        <w:tc>
          <w:tcPr>
            <w:tcW w:w="252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7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971396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76% of students will be at the 40th percentile or above</w:t>
            </w:r>
          </w:p>
        </w:tc>
      </w:tr>
      <w:tr w:rsidR="00BA1D97">
        <w:trPr>
          <w:trHeight w:val="400"/>
        </w:trPr>
        <w:tc>
          <w:tcPr>
            <w:tcW w:w="252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BA1D97">
        <w:trPr>
          <w:trHeight w:val="400"/>
        </w:trPr>
        <w:tc>
          <w:tcPr>
            <w:tcW w:w="252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D97" w:rsidRDefault="00BA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A1D97" w:rsidRDefault="00BA1D97">
      <w:pPr>
        <w:tabs>
          <w:tab w:val="left" w:pos="7539"/>
        </w:tabs>
      </w:pPr>
    </w:p>
    <w:p w:rsidR="00BA1D97" w:rsidRDefault="00BA1D97">
      <w:pPr>
        <w:tabs>
          <w:tab w:val="left" w:pos="7539"/>
        </w:tabs>
      </w:pPr>
    </w:p>
    <w:p w:rsidR="00BA1D97" w:rsidRDefault="00BA1D97">
      <w:pPr>
        <w:tabs>
          <w:tab w:val="left" w:pos="7539"/>
        </w:tabs>
      </w:pPr>
    </w:p>
    <w:p w:rsidR="00BA1D97" w:rsidRDefault="00BA1D97">
      <w:pPr>
        <w:tabs>
          <w:tab w:val="left" w:pos="7539"/>
        </w:tabs>
      </w:pPr>
    </w:p>
    <w:p w:rsidR="00BA1D97" w:rsidRDefault="00BA1D97">
      <w:pPr>
        <w:tabs>
          <w:tab w:val="left" w:pos="7539"/>
        </w:tabs>
      </w:pPr>
    </w:p>
    <w:p w:rsidR="00BA1D97" w:rsidRDefault="00BA1D97">
      <w:pPr>
        <w:tabs>
          <w:tab w:val="left" w:pos="7539"/>
        </w:tabs>
      </w:pPr>
    </w:p>
    <w:p w:rsidR="00BA1D97" w:rsidRDefault="00971396">
      <w:pPr>
        <w:tabs>
          <w:tab w:val="left" w:pos="7539"/>
        </w:tabs>
      </w:pPr>
      <w:r>
        <w:rPr>
          <w:noProof/>
        </w:rPr>
        <w:lastRenderedPageBreak/>
        <w:drawing>
          <wp:inline distT="114300" distB="114300" distL="114300" distR="114300">
            <wp:extent cx="8229600" cy="6045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A1D97">
      <w:headerReference w:type="default" r:id="rId9"/>
      <w:footerReference w:type="default" r:id="rId10"/>
      <w:pgSz w:w="15840" w:h="12240"/>
      <w:pgMar w:top="1800" w:right="1440" w:bottom="180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96" w:rsidRDefault="00971396">
      <w:r>
        <w:separator/>
      </w:r>
    </w:p>
  </w:endnote>
  <w:endnote w:type="continuationSeparator" w:id="0">
    <w:p w:rsidR="00971396" w:rsidRDefault="0097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7" w:rsidRDefault="00971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80808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Revised 4/21/2015</w:t>
    </w:r>
  </w:p>
  <w:p w:rsidR="00BA1D97" w:rsidRDefault="00971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808080"/>
        <w:sz w:val="18"/>
        <w:szCs w:val="18"/>
      </w:rPr>
    </w:pPr>
    <w:r>
      <w:rPr>
        <w:rFonts w:ascii="Arial" w:eastAsia="Arial" w:hAnsi="Arial" w:cs="Arial"/>
        <w:i/>
        <w:color w:val="808080"/>
        <w:sz w:val="18"/>
        <w:szCs w:val="18"/>
      </w:rPr>
      <w:t>The Handbook for SMART School Teams</w:t>
    </w:r>
  </w:p>
  <w:p w:rsidR="00BA1D97" w:rsidRDefault="00971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color w:val="808080"/>
        <w:sz w:val="18"/>
        <w:szCs w:val="18"/>
      </w:rPr>
      <w:t>Copyright © 2002 Solution Tree (formerly National Educational Service)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96" w:rsidRDefault="00971396">
      <w:r>
        <w:separator/>
      </w:r>
    </w:p>
  </w:footnote>
  <w:footnote w:type="continuationSeparator" w:id="0">
    <w:p w:rsidR="00971396" w:rsidRDefault="0097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7" w:rsidRDefault="00971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-390524</wp:posOffset>
              </wp:positionH>
              <wp:positionV relativeFrom="paragraph">
                <wp:posOffset>-228599</wp:posOffset>
              </wp:positionV>
              <wp:extent cx="103505" cy="94879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14998" y="3265650"/>
                        <a:ext cx="90805" cy="1028700"/>
                      </a:xfrm>
                      <a:prstGeom prst="rect">
                        <a:avLst/>
                      </a:prstGeom>
                      <a:solidFill>
                        <a:srgbClr val="EA9999"/>
                      </a:solidFill>
                      <a:ln w="12700" cap="flat" cmpd="sng">
                        <a:solidFill>
                          <a:srgbClr val="EA99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A1D97" w:rsidRDefault="00BA1D9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-390524</wp:posOffset>
              </wp:positionH>
              <wp:positionV relativeFrom="paragraph">
                <wp:posOffset>-228599</wp:posOffset>
              </wp:positionV>
              <wp:extent cx="103505" cy="948796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505" cy="9487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11480800</wp:posOffset>
              </wp:positionH>
              <wp:positionV relativeFrom="paragraph">
                <wp:posOffset>0</wp:posOffset>
              </wp:positionV>
              <wp:extent cx="103505" cy="1041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14998" y="3265650"/>
                        <a:ext cx="90805" cy="10287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12700" cap="flat" cmpd="sng">
                        <a:solidFill>
                          <a:srgbClr val="2058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A1D97" w:rsidRDefault="00BA1D9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11480800</wp:posOffset>
              </wp:positionH>
              <wp:positionV relativeFrom="paragraph">
                <wp:posOffset>0</wp:posOffset>
              </wp:positionV>
              <wp:extent cx="103505" cy="1041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505" cy="1041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-1714499</wp:posOffset>
              </wp:positionH>
              <wp:positionV relativeFrom="paragraph">
                <wp:posOffset>-457199</wp:posOffset>
              </wp:positionV>
              <wp:extent cx="10058400" cy="10287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1028700"/>
                        <a:chOff x="2145600" y="3265650"/>
                        <a:chExt cx="10058400" cy="10287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2145600" y="3265650"/>
                          <a:ext cx="10058400" cy="1028700"/>
                          <a:chOff x="0" y="0"/>
                          <a:chExt cx="10058400" cy="10287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0058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A1D97" w:rsidRDefault="00BA1D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635" y="1016547"/>
                            <a:ext cx="1005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7764" h="1" extrusionOk="0">
                                <a:moveTo>
                                  <a:pt x="0" y="0"/>
                                </a:moveTo>
                                <a:lnTo>
                                  <a:pt x="100577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31849B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56243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A1D97" w:rsidRDefault="00BA1D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-457199</wp:posOffset>
              </wp:positionV>
              <wp:extent cx="10058400" cy="10287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7"/>
    <w:rsid w:val="007B0D35"/>
    <w:rsid w:val="00971396"/>
    <w:rsid w:val="00B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0AF59-6B5E-4C34-BA11-C9B4790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 Narrow" w:eastAsia="Arial Narrow" w:hAnsi="Arial Narrow" w:cs="Arial Narrow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 Narrow" w:eastAsia="Arial Narrow" w:hAnsi="Arial Narrow" w:cs="Arial Narrow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color w:val="000000"/>
      <w:sz w:val="40"/>
      <w:szCs w:val="4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Shawna Chambers</dc:creator>
  <cp:lastModifiedBy>Shawna Chambers</cp:lastModifiedBy>
  <cp:revision>2</cp:revision>
  <dcterms:created xsi:type="dcterms:W3CDTF">2020-05-22T18:53:00Z</dcterms:created>
  <dcterms:modified xsi:type="dcterms:W3CDTF">2020-05-22T18:53:00Z</dcterms:modified>
</cp:coreProperties>
</file>