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Guaranteed and Viable Curriculum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Team :   LA 6                                                                                                                            USOE Standard #:  Reading Information, Standard 2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720"/>
        <w:gridCol w:w="6045"/>
        <w:gridCol w:w="1635"/>
        <w:tblGridChange w:id="0">
          <w:tblGrid>
            <w:gridCol w:w="6720"/>
            <w:gridCol w:w="6045"/>
            <w:gridCol w:w="163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bf8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hd w:fill="fabf8f" w:val="clear"/>
              </w:rPr>
            </w:pPr>
            <w:r w:rsidDel="00000000" w:rsidR="00000000" w:rsidRPr="00000000">
              <w:rPr>
                <w:b w:val="1"/>
                <w:shd w:fill="fabf8f" w:val="clear"/>
                <w:rtl w:val="0"/>
              </w:rPr>
              <w:t xml:space="preserve">Essential Standard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abf8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hd w:fill="fabf8f" w:val="clear"/>
              </w:rPr>
            </w:pPr>
            <w:r w:rsidDel="00000000" w:rsidR="00000000" w:rsidRPr="00000000">
              <w:rPr>
                <w:b w:val="1"/>
                <w:shd w:fill="fabf8f" w:val="clear"/>
                <w:rtl w:val="0"/>
              </w:rPr>
              <w:t xml:space="preserve">Student Friendly Language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abf8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hd w:fill="fabf8f" w:val="clear"/>
              </w:rPr>
            </w:pPr>
            <w:r w:rsidDel="00000000" w:rsidR="00000000" w:rsidRPr="00000000">
              <w:rPr>
                <w:b w:val="1"/>
                <w:shd w:fill="fabf8f" w:val="clear"/>
                <w:rtl w:val="0"/>
              </w:rPr>
              <w:t xml:space="preserve">DOK Level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Provide a summary of the text distinct from personal opinions or judgments.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Independently, students can use reading strategies to read and understand an informational text.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984807"/>
          <w:sz w:val="20"/>
          <w:szCs w:val="20"/>
          <w:rtl w:val="0"/>
        </w:rPr>
        <w:t xml:space="preserve">Does it have endurance?</w:t>
      </w:r>
      <w:r w:rsidDel="00000000" w:rsidR="00000000" w:rsidRPr="00000000">
        <w:rPr>
          <w:color w:val="984807"/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rtl w:val="0"/>
        </w:rPr>
        <w:t xml:space="preserve">Do we really expect our students to retain the knowledge and skills over time as opposed to merely learning it for a test?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color w:val="984807"/>
          <w:sz w:val="20"/>
          <w:szCs w:val="20"/>
          <w:rtl w:val="0"/>
        </w:rPr>
        <w:t xml:space="preserve">Does it have leverage?</w:t>
      </w:r>
      <w:r w:rsidDel="00000000" w:rsidR="00000000" w:rsidRPr="00000000">
        <w:rPr>
          <w:color w:val="984807"/>
          <w:sz w:val="20"/>
          <w:szCs w:val="20"/>
          <w:rtl w:val="0"/>
        </w:rPr>
        <w:t xml:space="preserve">  </w:t>
      </w:r>
      <w:r w:rsidDel="00000000" w:rsidR="00000000" w:rsidRPr="00000000">
        <w:rPr>
          <w:b w:val="1"/>
          <w:sz w:val="20"/>
          <w:szCs w:val="20"/>
          <w:rtl w:val="0"/>
        </w:rPr>
        <w:t xml:space="preserve">Will proficiency in this standard help the student in other areas of the curriculum and other academic disciplines</w:t>
      </w:r>
      <w:r w:rsidDel="00000000" w:rsidR="00000000" w:rsidRPr="00000000">
        <w:rPr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984807"/>
          <w:sz w:val="20"/>
          <w:szCs w:val="20"/>
          <w:rtl w:val="0"/>
        </w:rPr>
        <w:t xml:space="preserve">Does it develop student readiness for the next level of learning?  </w:t>
      </w:r>
      <w:r w:rsidDel="00000000" w:rsidR="00000000" w:rsidRPr="00000000">
        <w:rPr>
          <w:b w:val="1"/>
          <w:sz w:val="20"/>
          <w:szCs w:val="20"/>
          <w:rtl w:val="0"/>
        </w:rPr>
        <w:t xml:space="preserve">Is it essential for success in the next unit, course, or grade level?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984807"/>
          <w:sz w:val="20"/>
          <w:szCs w:val="20"/>
        </w:rPr>
      </w:pPr>
      <w:r w:rsidDel="00000000" w:rsidR="00000000" w:rsidRPr="00000000">
        <w:rPr>
          <w:b w:val="1"/>
          <w:color w:val="984807"/>
          <w:sz w:val="20"/>
          <w:szCs w:val="20"/>
          <w:rtl w:val="0"/>
        </w:rPr>
        <w:t xml:space="preserve">What content do we currently teach that we can eliminate from the curriculum because it is not essential?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e36c0a"/>
          <w:sz w:val="24"/>
          <w:szCs w:val="24"/>
        </w:rPr>
      </w:pPr>
      <w:r w:rsidDel="00000000" w:rsidR="00000000" w:rsidRPr="00000000">
        <w:rPr>
          <w:b w:val="1"/>
          <w:color w:val="e36c0a"/>
          <w:sz w:val="24"/>
          <w:szCs w:val="24"/>
          <w:rtl w:val="0"/>
        </w:rPr>
        <w:t xml:space="preserve"> </w:t>
      </w:r>
    </w:p>
    <w:tbl>
      <w:tblPr>
        <w:tblStyle w:val="Table2"/>
        <w:tblW w:w="145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870"/>
        <w:gridCol w:w="1710"/>
        <w:tblGridChange w:id="0">
          <w:tblGrid>
            <w:gridCol w:w="12870"/>
            <w:gridCol w:w="17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  <w:shd w:fill="92cdd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92cddc" w:val="clear"/>
                <w:rtl w:val="0"/>
              </w:rPr>
              <w:t xml:space="preserve">What is the Common Formative Assessment/s for this standard?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d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  <w:shd w:fill="92cdd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92cddc" w:val="clear"/>
                <w:rtl w:val="0"/>
              </w:rPr>
              <w:t xml:space="preserve">DOK Level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 Comprehension Quizzes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ind w:left="72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Informational Reading Responses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e36c0a"/>
        </w:rPr>
      </w:pPr>
      <w:r w:rsidDel="00000000" w:rsidR="00000000" w:rsidRPr="00000000">
        <w:rPr>
          <w:b w:val="1"/>
          <w:color w:val="e36c0a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does each level of proficiency look like for this standard?</w:t>
      </w:r>
    </w:p>
    <w:tbl>
      <w:tblPr>
        <w:tblStyle w:val="Table3"/>
        <w:tblW w:w="145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341.4908802537675"/>
        <w:gridCol w:w="3341.4908802537675"/>
        <w:gridCol w:w="3746.1697065820777"/>
        <w:gridCol w:w="4150.848532910389"/>
        <w:tblGridChange w:id="0">
          <w:tblGrid>
            <w:gridCol w:w="3341.4908802537675"/>
            <w:gridCol w:w="3341.4908802537675"/>
            <w:gridCol w:w="3746.1697065820777"/>
            <w:gridCol w:w="4150.84853291038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  <w:shd w:fill="b2a1c7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b2a1c7" w:val="clear"/>
                <w:rtl w:val="0"/>
              </w:rPr>
              <w:t xml:space="preserve">Not Proficient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  <w:shd w:fill="b2a1c7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b2a1c7" w:val="clear"/>
                <w:rtl w:val="0"/>
              </w:rPr>
              <w:t xml:space="preserve">Basic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  <w:shd w:fill="b2a1c7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b2a1c7" w:val="clear"/>
                <w:rtl w:val="0"/>
              </w:rPr>
              <w:t xml:space="preserve">Proficient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  <w:shd w:fill="b2a1c7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b2a1c7" w:val="clear"/>
                <w:rtl w:val="0"/>
              </w:rPr>
              <w:t xml:space="preserve">Do this one first.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2a1c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  <w:shd w:fill="b2a1c7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b2a1c7" w:val="clear"/>
                <w:rtl w:val="0"/>
              </w:rPr>
              <w:t xml:space="preserve">Exemplary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can not show comprehension.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They cannot summarize the main idea, identify major text structures, identify different authors’ points of view, or identify support of explicit ideas.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does not cite sources correctly.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435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Show basic grade-level comprehension.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4"/>
              </w:numPr>
              <w:ind w:left="885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summarize main idea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4"/>
              </w:numPr>
              <w:ind w:left="885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identify major text structures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4"/>
              </w:numPr>
              <w:ind w:left="885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understand there is a variety of sources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4"/>
              </w:numPr>
              <w:ind w:left="885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identify different authors’ points of view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4"/>
              </w:numPr>
              <w:ind w:left="885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identify support of explicit ideas, but not correctly cite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39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Show grade-level comprehension.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1"/>
              </w:numPr>
              <w:ind w:left="885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summarize main idea + inferred meanings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1"/>
              </w:numPr>
              <w:ind w:left="885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 structures that drive organization/meaning 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"/>
              </w:numPr>
              <w:ind w:left="885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aware of need to consider academic credibility of a source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1"/>
              </w:numPr>
              <w:ind w:left="885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compare/contrast different author’s points of view/ trace argument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1"/>
              </w:numPr>
              <w:ind w:left="885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Cite evidence to support analysis of explicit ideas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ind w:left="435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Show advanced comprehension.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2"/>
              </w:numPr>
              <w:ind w:left="90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Summarize multiple levels of ideas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2"/>
              </w:numPr>
              <w:ind w:left="90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 structures that drive organization/meaning  + multimedia presentation to add emphasis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2"/>
              </w:numPr>
              <w:ind w:left="90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evaluated academic credibility of source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2"/>
              </w:numPr>
              <w:ind w:left="90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analyze/evaluate different authors’ points of view/ trace argument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2"/>
              </w:numPr>
              <w:ind w:left="90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Cite multiple sources to support insightful analysis both explicit and inferred ideas</w:t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