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6th Grade Math Norms/Collective Commitments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WILL…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Put students first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Communicate by being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Respectful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Encouraging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Insanely Clear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Open Minded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Honest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Listening (1 mouth 2 Ears)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Asking Questions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Having Discussion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Flexible in everything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Teach Envision with Fidelity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 Prepared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Teacher Materials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Computer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Teamwork makes the dream work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Good time management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Start and end on time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No sidebar conversation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Parking Lot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Be Present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