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ind w:hanging="270"/>
        <w:rPr>
          <w:b w:val="1"/>
          <w:sz w:val="28"/>
          <w:szCs w:val="28"/>
        </w:rPr>
      </w:pPr>
      <w:r w:rsidDel="00000000" w:rsidR="00000000" w:rsidRPr="00000000">
        <w:rPr>
          <w:b w:val="1"/>
          <w:sz w:val="28"/>
          <w:szCs w:val="28"/>
          <w:u w:val="single"/>
          <w:rtl w:val="0"/>
        </w:rPr>
        <w:t xml:space="preserve">Step 1: Selecting Essential Standards:</w:t>
      </w:r>
      <w:r w:rsidDel="00000000" w:rsidR="00000000" w:rsidRPr="00000000">
        <w:rPr>
          <w:b w:val="1"/>
          <w:sz w:val="28"/>
          <w:szCs w:val="28"/>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ind w:hanging="270"/>
        <w:rPr>
          <w:rFonts w:ascii="Architects Daughter" w:cs="Architects Daughter" w:eastAsia="Architects Daughter" w:hAnsi="Architects Daughter"/>
          <w:sz w:val="28"/>
          <w:szCs w:val="28"/>
        </w:rPr>
      </w:pPr>
      <w:r w:rsidDel="00000000" w:rsidR="00000000" w:rsidRPr="00000000">
        <w:rPr>
          <w:sz w:val="28"/>
          <w:szCs w:val="28"/>
          <w:rtl w:val="0"/>
        </w:rPr>
        <w:t xml:space="preserve">What Do Students Need to Know and Be Able To Do By the End of the Course? </w:t>
      </w:r>
      <w:r w:rsidDel="00000000" w:rsidR="00000000" w:rsidRPr="00000000">
        <w:rPr>
          <w:sz w:val="28"/>
          <w:szCs w:val="28"/>
          <w:rtl w:val="0"/>
        </w:rPr>
        <w:t xml:space="preserve"> </w:t>
      </w:r>
      <w:r w:rsidDel="00000000" w:rsidR="00000000" w:rsidRPr="00000000">
        <w:rPr>
          <w:rFonts w:ascii="Architects Daughter" w:cs="Architects Daughter" w:eastAsia="Architects Daughter" w:hAnsi="Architects Daughter"/>
          <w:sz w:val="28"/>
          <w:szCs w:val="28"/>
          <w:rtl w:val="0"/>
        </w:rPr>
        <w:tab/>
      </w:r>
    </w:p>
    <w:p w:rsidR="00000000" w:rsidDel="00000000" w:rsidP="00000000" w:rsidRDefault="00000000" w:rsidRPr="00000000" w14:paraId="00000003">
      <w:pPr>
        <w:pageBreakBefore w:val="0"/>
        <w:spacing w:line="240" w:lineRule="auto"/>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ab/>
        <w:tab/>
        <w:tab/>
        <w:t xml:space="preserve">       </w:t>
      </w:r>
    </w:p>
    <w:tbl>
      <w:tblPr>
        <w:tblStyle w:val="Table1"/>
        <w:tblW w:w="1143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0"/>
        <w:gridCol w:w="1680"/>
        <w:tblGridChange w:id="0">
          <w:tblGrid>
            <w:gridCol w:w="9750"/>
            <w:gridCol w:w="1680"/>
          </w:tblGrid>
        </w:tblGridChange>
      </w:tblGrid>
      <w:tr>
        <w:trPr>
          <w:cantSplit w:val="0"/>
          <w:trHeight w:val="691.2" w:hRule="atLeast"/>
          <w:tblHeader w:val="0"/>
        </w:trPr>
        <w:tc>
          <w:tcPr>
            <w:shd w:fill="674ea7"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color w:val="f3f3f3"/>
                <w:sz w:val="26"/>
                <w:szCs w:val="26"/>
              </w:rPr>
            </w:pPr>
            <w:r w:rsidDel="00000000" w:rsidR="00000000" w:rsidRPr="00000000">
              <w:rPr>
                <w:color w:val="f3f3f3"/>
                <w:sz w:val="26"/>
                <w:szCs w:val="26"/>
                <w:rtl w:val="0"/>
              </w:rPr>
              <w:t xml:space="preserve">What Students Need to Know and Be Able To Do By the End of the Course </w:t>
            </w:r>
          </w:p>
        </w:tc>
        <w:tc>
          <w:tcPr>
            <w:shd w:fill="674ea7"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color w:val="ffffff"/>
                <w:sz w:val="26"/>
                <w:szCs w:val="26"/>
              </w:rPr>
            </w:pPr>
            <w:r w:rsidDel="00000000" w:rsidR="00000000" w:rsidRPr="00000000">
              <w:rPr>
                <w:color w:val="ffffff"/>
                <w:sz w:val="26"/>
                <w:szCs w:val="26"/>
                <w:rtl w:val="0"/>
              </w:rPr>
              <w:t xml:space="preserve">Unit(s)</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6"/>
                <w:szCs w:val="26"/>
              </w:rPr>
            </w:pPr>
            <w:r w:rsidDel="00000000" w:rsidR="00000000" w:rsidRPr="00000000">
              <w:rPr>
                <w:sz w:val="26"/>
                <w:szCs w:val="26"/>
                <w:rtl w:val="0"/>
              </w:rPr>
              <w:t xml:space="preserve">1.OA.1 Use addition and Subtraction within 20 to solve word problems involving situations of adding to, taking from, putting together, taking apart, and comparing, with unknown in all positions, by using objects, drawings, and equations with a symbol for the unknown number to represent the problem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sz w:val="26"/>
                <w:szCs w:val="26"/>
              </w:rPr>
            </w:pPr>
            <w:r w:rsidDel="00000000" w:rsidR="00000000" w:rsidRPr="00000000">
              <w:rPr>
                <w:sz w:val="26"/>
                <w:szCs w:val="26"/>
                <w:rtl w:val="0"/>
              </w:rPr>
              <w:t xml:space="preserve">Chapter 1, Chapter 2, Chapter 3, Chapter 4, Chapter 7</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6"/>
                <w:szCs w:val="26"/>
              </w:rPr>
            </w:pPr>
            <w:r w:rsidDel="00000000" w:rsidR="00000000" w:rsidRPr="00000000">
              <w:rPr>
                <w:sz w:val="26"/>
                <w:szCs w:val="26"/>
                <w:highlight w:val="white"/>
                <w:rtl w:val="0"/>
              </w:rPr>
              <w:t xml:space="preserve">1.OA.6 Add and Subtract within 20, demonstrating fluency for addition and subtraction within 10. Use strategies such as counting on, making ten, using the relationship between addition and subtraction and creating equivalent but easier or known sums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sz w:val="26"/>
                <w:szCs w:val="26"/>
              </w:rPr>
            </w:pPr>
            <w:r w:rsidDel="00000000" w:rsidR="00000000" w:rsidRPr="00000000">
              <w:rPr>
                <w:sz w:val="26"/>
                <w:szCs w:val="26"/>
                <w:rtl w:val="0"/>
              </w:rPr>
              <w:t xml:space="preserve">Chapter 1, Chapter 2, Chapter 3, Chapter 4</w:t>
            </w:r>
          </w:p>
          <w:p w:rsidR="00000000" w:rsidDel="00000000" w:rsidP="00000000" w:rsidRDefault="00000000" w:rsidRPr="00000000" w14:paraId="0000000A">
            <w:pPr>
              <w:widowControl w:val="0"/>
              <w:spacing w:line="240" w:lineRule="auto"/>
              <w:ind w:left="0" w:firstLine="0"/>
              <w:rPr>
                <w:sz w:val="26"/>
                <w:szCs w:val="26"/>
              </w:rPr>
            </w:pPr>
            <w:r w:rsidDel="00000000" w:rsidR="00000000" w:rsidRPr="00000000">
              <w:rPr>
                <w:sz w:val="26"/>
                <w:szCs w:val="26"/>
                <w:rtl w:val="0"/>
              </w:rPr>
              <w:t xml:space="preserve">Chapter 7</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6"/>
                <w:szCs w:val="26"/>
              </w:rPr>
            </w:pPr>
            <w:r w:rsidDel="00000000" w:rsidR="00000000" w:rsidRPr="00000000">
              <w:rPr>
                <w:rtl w:val="0"/>
              </w:rPr>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6"/>
                <w:szCs w:val="26"/>
              </w:rPr>
            </w:pPr>
            <w:r w:rsidDel="00000000" w:rsidR="00000000" w:rsidRPr="00000000">
              <w:rPr>
                <w:sz w:val="26"/>
                <w:szCs w:val="26"/>
                <w:rtl w:val="0"/>
              </w:rPr>
              <w:t xml:space="preserve">1.NBT.2  Understand that the two digits of a two digit number represent amounts of tens and ones. Understand the following</w:t>
            </w:r>
          </w:p>
          <w:p w:rsidR="00000000" w:rsidDel="00000000" w:rsidP="00000000" w:rsidRDefault="00000000" w:rsidRPr="00000000" w14:paraId="0000000E">
            <w:pPr>
              <w:widowControl w:val="0"/>
              <w:numPr>
                <w:ilvl w:val="0"/>
                <w:numId w:val="1"/>
              </w:numPr>
              <w:spacing w:line="240" w:lineRule="auto"/>
              <w:ind w:left="720" w:hanging="360"/>
              <w:rPr>
                <w:sz w:val="26"/>
                <w:szCs w:val="26"/>
              </w:rPr>
            </w:pPr>
            <w:r w:rsidDel="00000000" w:rsidR="00000000" w:rsidRPr="00000000">
              <w:rPr>
                <w:sz w:val="26"/>
                <w:szCs w:val="26"/>
                <w:rtl w:val="0"/>
              </w:rPr>
              <w:t xml:space="preserve">10 can be thought of as a bundle of ten ones - called a ten</w:t>
            </w:r>
          </w:p>
          <w:p w:rsidR="00000000" w:rsidDel="00000000" w:rsidP="00000000" w:rsidRDefault="00000000" w:rsidRPr="00000000" w14:paraId="0000000F">
            <w:pPr>
              <w:widowControl w:val="0"/>
              <w:numPr>
                <w:ilvl w:val="0"/>
                <w:numId w:val="1"/>
              </w:numPr>
              <w:spacing w:line="240" w:lineRule="auto"/>
              <w:ind w:left="720" w:hanging="360"/>
              <w:rPr>
                <w:sz w:val="26"/>
                <w:szCs w:val="26"/>
              </w:rPr>
            </w:pPr>
            <w:r w:rsidDel="00000000" w:rsidR="00000000" w:rsidRPr="00000000">
              <w:rPr>
                <w:sz w:val="26"/>
                <w:szCs w:val="26"/>
                <w:rtl w:val="0"/>
              </w:rPr>
              <w:t xml:space="preserve">The number from 11 to 19 are composed of a ten and one </w:t>
            </w:r>
          </w:p>
          <w:p w:rsidR="00000000" w:rsidDel="00000000" w:rsidP="00000000" w:rsidRDefault="00000000" w:rsidRPr="00000000" w14:paraId="00000010">
            <w:pPr>
              <w:widowControl w:val="0"/>
              <w:numPr>
                <w:ilvl w:val="0"/>
                <w:numId w:val="1"/>
              </w:numPr>
              <w:spacing w:line="240" w:lineRule="auto"/>
              <w:ind w:left="720" w:hanging="360"/>
              <w:rPr>
                <w:sz w:val="26"/>
                <w:szCs w:val="26"/>
              </w:rPr>
            </w:pPr>
            <w:r w:rsidDel="00000000" w:rsidR="00000000" w:rsidRPr="00000000">
              <w:rPr>
                <w:sz w:val="26"/>
                <w:szCs w:val="26"/>
                <w:rtl w:val="0"/>
              </w:rPr>
              <w:t xml:space="preserve">The numbers 10, 20, 30, 40, 50 refer to one, two, three, four, five tens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6"/>
                <w:szCs w:val="26"/>
              </w:rPr>
            </w:pPr>
            <w:r w:rsidDel="00000000" w:rsidR="00000000" w:rsidRPr="00000000">
              <w:rPr>
                <w:sz w:val="26"/>
                <w:szCs w:val="26"/>
                <w:rtl w:val="0"/>
              </w:rPr>
              <w:t xml:space="preserve">Chapter 5</w:t>
            </w:r>
          </w:p>
          <w:p w:rsidR="00000000" w:rsidDel="00000000" w:rsidP="00000000" w:rsidRDefault="00000000" w:rsidRPr="00000000" w14:paraId="00000012">
            <w:pPr>
              <w:widowControl w:val="0"/>
              <w:spacing w:line="240" w:lineRule="auto"/>
              <w:rPr>
                <w:sz w:val="26"/>
                <w:szCs w:val="26"/>
              </w:rPr>
            </w:pPr>
            <w:r w:rsidDel="00000000" w:rsidR="00000000" w:rsidRPr="00000000">
              <w:rPr>
                <w:sz w:val="26"/>
                <w:szCs w:val="26"/>
                <w:rtl w:val="0"/>
              </w:rPr>
              <w:t xml:space="preserve">Chapter 6</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6"/>
                <w:szCs w:val="26"/>
              </w:rPr>
            </w:pPr>
            <w:r w:rsidDel="00000000" w:rsidR="00000000" w:rsidRPr="00000000">
              <w:rPr>
                <w:sz w:val="26"/>
                <w:szCs w:val="26"/>
                <w:rtl w:val="0"/>
              </w:rPr>
              <w:t xml:space="preserve">1.OA.5 Relate counting to addition and subtraction (counting on 2 by adding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6"/>
                <w:szCs w:val="26"/>
              </w:rPr>
            </w:pPr>
            <w:r w:rsidDel="00000000" w:rsidR="00000000" w:rsidRPr="00000000">
              <w:rPr>
                <w:sz w:val="26"/>
                <w:szCs w:val="26"/>
                <w:rtl w:val="0"/>
              </w:rPr>
              <w:t xml:space="preserve">Chapter 3 Chapter 4</w:t>
            </w:r>
          </w:p>
          <w:p w:rsidR="00000000" w:rsidDel="00000000" w:rsidP="00000000" w:rsidRDefault="00000000" w:rsidRPr="00000000" w14:paraId="00000015">
            <w:pPr>
              <w:widowControl w:val="0"/>
              <w:spacing w:line="240" w:lineRule="auto"/>
              <w:rPr>
                <w:sz w:val="26"/>
                <w:szCs w:val="26"/>
              </w:rPr>
            </w:pPr>
            <w:r w:rsidDel="00000000" w:rsidR="00000000" w:rsidRPr="00000000">
              <w:rPr>
                <w:sz w:val="26"/>
                <w:szCs w:val="26"/>
                <w:rtl w:val="0"/>
              </w:rPr>
              <w:t xml:space="preserve">Chapter 6</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6"/>
                <w:szCs w:val="26"/>
              </w:rPr>
            </w:pPr>
            <w:r w:rsidDel="00000000" w:rsidR="00000000" w:rsidRPr="00000000">
              <w:rPr>
                <w:sz w:val="26"/>
                <w:szCs w:val="26"/>
                <w:rtl w:val="0"/>
              </w:rPr>
              <w:t xml:space="preserve">1.OA. 4 Understand subtraction as an unknown addend problem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0" w:firstLine="0"/>
              <w:rPr>
                <w:sz w:val="26"/>
                <w:szCs w:val="26"/>
              </w:rPr>
            </w:pPr>
            <w:r w:rsidDel="00000000" w:rsidR="00000000" w:rsidRPr="00000000">
              <w:rPr>
                <w:sz w:val="26"/>
                <w:szCs w:val="26"/>
                <w:rtl w:val="0"/>
              </w:rPr>
              <w:t xml:space="preserve">Chapter 2 Chapter 4</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6"/>
                <w:szCs w:val="26"/>
              </w:rPr>
            </w:pPr>
            <w:r w:rsidDel="00000000" w:rsidR="00000000" w:rsidRPr="00000000">
              <w:rPr>
                <w:sz w:val="26"/>
                <w:szCs w:val="26"/>
                <w:rtl w:val="0"/>
              </w:rPr>
              <w:t xml:space="preserve">1.NBT.1 Count to 120 starting at any given number less than 120. In this range, read and write numerals and represent a number of objects within a written numeral.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6"/>
                <w:szCs w:val="26"/>
              </w:rPr>
            </w:pPr>
            <w:r w:rsidDel="00000000" w:rsidR="00000000" w:rsidRPr="00000000">
              <w:rPr>
                <w:sz w:val="26"/>
                <w:szCs w:val="26"/>
                <w:rtl w:val="0"/>
              </w:rPr>
              <w:t xml:space="preserve">Chapter 5</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6"/>
                <w:szCs w:val="26"/>
              </w:rPr>
            </w:pPr>
            <w:r w:rsidDel="00000000" w:rsidR="00000000" w:rsidRPr="00000000">
              <w:rPr>
                <w:sz w:val="26"/>
                <w:szCs w:val="26"/>
                <w:rtl w:val="0"/>
              </w:rPr>
              <w:t xml:space="preserve">1.NBT.3 Compare two digit numbers based on meaning of tens and ones digits, recording the results of comparisons with the symbols &gt;, &lt;,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6"/>
                <w:szCs w:val="26"/>
              </w:rPr>
            </w:pPr>
            <w:r w:rsidDel="00000000" w:rsidR="00000000" w:rsidRPr="00000000">
              <w:rPr>
                <w:sz w:val="26"/>
                <w:szCs w:val="26"/>
                <w:rtl w:val="0"/>
              </w:rPr>
              <w:t xml:space="preserve">Chapter 5</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Architects Daughter" w:cs="Architects Daughter" w:eastAsia="Architects Daughter" w:hAnsi="Architects Daughte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Architects Daughter" w:cs="Architects Daughter" w:eastAsia="Architects Daughter" w:hAnsi="Architects Daughter"/>
                <w:sz w:val="28"/>
                <w:szCs w:val="28"/>
              </w:rPr>
            </w:pPr>
            <w:r w:rsidDel="00000000" w:rsidR="00000000" w:rsidRPr="00000000">
              <w:rPr>
                <w:rtl w:val="0"/>
              </w:rPr>
            </w:r>
          </w:p>
        </w:tc>
      </w:tr>
    </w:tbl>
    <w:p w:rsidR="00000000" w:rsidDel="00000000" w:rsidP="00000000" w:rsidRDefault="00000000" w:rsidRPr="00000000" w14:paraId="0000001E">
      <w:pPr>
        <w:pageBreakBefore w:val="0"/>
        <w:spacing w:line="240" w:lineRule="auto"/>
        <w:rPr>
          <w:rFonts w:ascii="Calibri" w:cs="Calibri" w:eastAsia="Calibri" w:hAnsi="Calibri"/>
        </w:rPr>
      </w:pPr>
      <w:r w:rsidDel="00000000" w:rsidR="00000000" w:rsidRPr="00000000">
        <w:br w:type="page"/>
      </w:r>
      <w:r w:rsidDel="00000000" w:rsidR="00000000" w:rsidRPr="00000000">
        <w:rPr>
          <w:rtl w:val="0"/>
        </w:rPr>
      </w:r>
    </w:p>
    <w:sectPr>
      <w:headerReference r:id="rId6" w:type="default"/>
      <w:footerReference r:id="rId7" w:type="default"/>
      <w:pgSz w:h="15840" w:w="12240" w:orient="portrait"/>
      <w:pgMar w:bottom="0"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chitects Daughter">
    <w:embedRegular w:fontKey="{00000000-0000-0000-0000-000000000000}" r:id="rId1" w:subsetted="0"/>
  </w:font>
  <w:font w:name="Maven Pro">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right"/>
      <w:rPr>
        <w:rFonts w:ascii="Maven Pro" w:cs="Maven Pro" w:eastAsia="Maven Pro" w:hAnsi="Maven Pro"/>
        <w:color w:val="999999"/>
        <w:sz w:val="18"/>
        <w:szCs w:val="18"/>
      </w:rPr>
    </w:pPr>
    <w:r w:rsidDel="00000000" w:rsidR="00000000" w:rsidRPr="00000000">
      <w:rPr>
        <w:rFonts w:ascii="Maven Pro" w:cs="Maven Pro" w:eastAsia="Maven Pro" w:hAnsi="Maven Pro"/>
        <w:color w:val="999999"/>
        <w:sz w:val="18"/>
        <w:szCs w:val="18"/>
        <w:rtl w:val="0"/>
      </w:rPr>
      <w:t xml:space="preserve">____ of 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120" w:lineRule="auto"/>
      <w:rPr>
        <w:sz w:val="72"/>
        <w:szCs w:val="72"/>
      </w:rPr>
    </w:pPr>
    <w:r w:rsidDel="00000000" w:rsidR="00000000" w:rsidRPr="00000000">
      <w:rPr>
        <w:rtl w:val="0"/>
      </w:rPr>
    </w:r>
  </w:p>
  <w:tbl>
    <w:tblPr>
      <w:tblStyle w:val="Table2"/>
      <w:tblW w:w="1132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rPr>
        <w:cantSplit w:val="0"/>
        <w:trHeight w:val="75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sz w:val="28"/>
              <w:szCs w:val="28"/>
            </w:rPr>
          </w:pPr>
          <w:r w:rsidDel="00000000" w:rsidR="00000000" w:rsidRPr="00000000">
            <w:rPr>
              <w:b w:val="1"/>
              <w:sz w:val="28"/>
              <w:szCs w:val="28"/>
              <w:rtl w:val="0"/>
            </w:rPr>
            <w:t xml:space="preserve">Course Name:</w:t>
          </w:r>
          <w:r w:rsidDel="00000000" w:rsidR="00000000" w:rsidRPr="00000000">
            <w:rPr>
              <w:sz w:val="28"/>
              <w:szCs w:val="28"/>
              <w:rtl w:val="0"/>
            </w:rPr>
            <w:t xml:space="preserve"> 1st Grade Math</w:t>
          </w:r>
        </w:p>
      </w:tc>
    </w:tr>
  </w:tbl>
  <w:p w:rsidR="00000000" w:rsidDel="00000000" w:rsidP="00000000" w:rsidRDefault="00000000" w:rsidRPr="00000000" w14:paraId="00000021">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MavenPro-regular.ttf"/><Relationship Id="rId3" Type="http://schemas.openxmlformats.org/officeDocument/2006/relationships/font" Target="fonts/Maven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