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Strategic Direction This Report Addresses for Instructional Coaches and Teacher Leadership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consistent classroom practices leading to increased college/career readiness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Leverage technology to support and extend the “classroom”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ff990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99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effective management of growth and resources to meet our future challenges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community engagement and parent partnership to prepare our students for life beyond their PK-12 education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Insight Statements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Highest Level of Performance and Why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Lowest Level of Performance and Why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Questions and Issues Raised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How Professional Development Plan and Goals Address Key Performance Issues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Card Data or Data Pertinent to Report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323217" cy="33396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217" cy="333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6"/>
        <w:szCs w:val="36"/>
        <w:rtl w:val="0"/>
      </w:rPr>
      <w:t xml:space="preserve">Strategic Plan Monitoring Report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